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0" w:type="dxa"/>
        <w:tblInd w:w="-401" w:type="dxa"/>
        <w:tblLook w:val="01E0" w:firstRow="1" w:lastRow="1" w:firstColumn="1" w:lastColumn="1" w:noHBand="0" w:noVBand="0"/>
      </w:tblPr>
      <w:tblGrid>
        <w:gridCol w:w="1101"/>
        <w:gridCol w:w="279"/>
        <w:gridCol w:w="6666"/>
        <w:gridCol w:w="284"/>
        <w:gridCol w:w="1560"/>
      </w:tblGrid>
      <w:tr w:rsidR="00F9650B" w:rsidRPr="007F7503" w14:paraId="065B6E01" w14:textId="77777777" w:rsidTr="00E73339">
        <w:trPr>
          <w:trHeight w:val="703"/>
        </w:trPr>
        <w:tc>
          <w:tcPr>
            <w:tcW w:w="1101"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DF451E0" w14:textId="178E55CB" w:rsidR="00F9650B" w:rsidRPr="007F7503" w:rsidRDefault="00132FFE" w:rsidP="00686CD6">
            <w:pPr>
              <w:jc w:val="center"/>
              <w:rPr>
                <w:rFonts w:ascii="Avalon" w:hAnsi="Avalon"/>
                <w:b/>
                <w:bCs/>
                <w:color w:val="000080"/>
                <w:sz w:val="32"/>
                <w:szCs w:val="32"/>
              </w:rPr>
            </w:pPr>
            <w:r w:rsidRPr="007F7503">
              <w:rPr>
                <w:rFonts w:ascii="Avalon" w:hAnsi="Avalon"/>
                <w:b/>
                <w:bCs/>
                <w:color w:val="000080"/>
                <w:sz w:val="32"/>
                <w:szCs w:val="32"/>
              </w:rPr>
              <w:t>3.2</w:t>
            </w:r>
          </w:p>
        </w:tc>
        <w:tc>
          <w:tcPr>
            <w:tcW w:w="279" w:type="dxa"/>
            <w:tcBorders>
              <w:left w:val="single" w:sz="4" w:space="0" w:color="000080"/>
              <w:right w:val="single" w:sz="4" w:space="0" w:color="000080"/>
            </w:tcBorders>
            <w:vAlign w:val="center"/>
          </w:tcPr>
          <w:p w14:paraId="40F5CE8C" w14:textId="77777777" w:rsidR="00F9650B" w:rsidRPr="007F7503" w:rsidRDefault="00F9650B" w:rsidP="00686CD6">
            <w:pPr>
              <w:jc w:val="center"/>
              <w:rPr>
                <w:rFonts w:ascii="Avalon" w:hAnsi="Avalon"/>
                <w:color w:val="000080"/>
              </w:rPr>
            </w:pPr>
          </w:p>
        </w:tc>
        <w:tc>
          <w:tcPr>
            <w:tcW w:w="6666"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101B856" w14:textId="54DBF9E6" w:rsidR="00F9650B" w:rsidRPr="007F7503" w:rsidRDefault="002415D0" w:rsidP="00F9650B">
            <w:pPr>
              <w:pStyle w:val="Style2"/>
              <w:rPr>
                <w:rFonts w:ascii="Avalon" w:hAnsi="Avalon"/>
                <w:i w:val="0"/>
              </w:rPr>
            </w:pPr>
            <w:r w:rsidRPr="007F7503">
              <w:rPr>
                <w:rFonts w:ascii="Avalon" w:hAnsi="Avalon"/>
                <w:i w:val="0"/>
              </w:rPr>
              <w:t>Masque r</w:t>
            </w:r>
            <w:r w:rsidR="00E94D51" w:rsidRPr="007F7503">
              <w:rPr>
                <w:rFonts w:ascii="Avalon" w:hAnsi="Avalon"/>
                <w:i w:val="0"/>
              </w:rPr>
              <w:t xml:space="preserve">apport </w:t>
            </w:r>
            <w:r w:rsidR="00363EEA" w:rsidRPr="007F7503">
              <w:rPr>
                <w:rFonts w:ascii="Avalon" w:hAnsi="Avalon"/>
                <w:i w:val="0"/>
              </w:rPr>
              <w:t>Article 29 de la Loi Energie Climat</w:t>
            </w:r>
          </w:p>
        </w:tc>
        <w:tc>
          <w:tcPr>
            <w:tcW w:w="284" w:type="dxa"/>
            <w:tcBorders>
              <w:left w:val="single" w:sz="4" w:space="0" w:color="000080"/>
              <w:right w:val="single" w:sz="4" w:space="0" w:color="000080"/>
            </w:tcBorders>
          </w:tcPr>
          <w:p w14:paraId="2A098F2A" w14:textId="77777777" w:rsidR="00F9650B" w:rsidRPr="007F7503" w:rsidRDefault="00F9650B" w:rsidP="00686CD6">
            <w:pPr>
              <w:jc w:val="center"/>
              <w:rPr>
                <w:rFonts w:ascii="Avalon" w:hAnsi="Avalon"/>
                <w:b/>
                <w:bCs/>
                <w:color w:val="000080"/>
              </w:rPr>
            </w:pPr>
          </w:p>
        </w:tc>
        <w:tc>
          <w:tcPr>
            <w:tcW w:w="156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BC60284" w14:textId="74E89DB9" w:rsidR="00F9650B" w:rsidRPr="007F7503" w:rsidRDefault="00132FFE" w:rsidP="009441A7">
            <w:pPr>
              <w:jc w:val="center"/>
              <w:rPr>
                <w:rFonts w:ascii="Avalon" w:hAnsi="Avalon"/>
                <w:b/>
                <w:bCs/>
                <w:color w:val="000080"/>
              </w:rPr>
            </w:pPr>
            <w:r w:rsidRPr="007F7503">
              <w:rPr>
                <w:rFonts w:ascii="Avalon" w:hAnsi="Avalon"/>
                <w:b/>
                <w:bCs/>
                <w:color w:val="000080"/>
              </w:rPr>
              <w:t>10</w:t>
            </w:r>
            <w:r w:rsidR="00E94D51" w:rsidRPr="007F7503">
              <w:rPr>
                <w:rFonts w:ascii="Avalon" w:hAnsi="Avalon"/>
                <w:b/>
                <w:bCs/>
                <w:color w:val="000080"/>
              </w:rPr>
              <w:t xml:space="preserve"> juin</w:t>
            </w:r>
            <w:r w:rsidR="00853C6C" w:rsidRPr="007F7503">
              <w:rPr>
                <w:rFonts w:ascii="Avalon" w:hAnsi="Avalon"/>
                <w:b/>
                <w:bCs/>
                <w:color w:val="000080"/>
              </w:rPr>
              <w:t xml:space="preserve"> 2022</w:t>
            </w:r>
          </w:p>
        </w:tc>
      </w:tr>
    </w:tbl>
    <w:p w14:paraId="07349FA2" w14:textId="77777777" w:rsidR="003F1212" w:rsidRPr="007F7503" w:rsidRDefault="003F1212" w:rsidP="003F1212">
      <w:pPr>
        <w:rPr>
          <w:rFonts w:ascii="Avalon" w:hAnsi="Avalon"/>
        </w:rPr>
      </w:pPr>
    </w:p>
    <w:p w14:paraId="08DCAC8C" w14:textId="77777777" w:rsidR="003F1212" w:rsidRPr="007F7503" w:rsidRDefault="003F1212" w:rsidP="003F1212">
      <w:pPr>
        <w:rPr>
          <w:rFonts w:ascii="Avalon" w:hAnsi="Avalon"/>
        </w:rPr>
      </w:pPr>
      <w:bookmarkStart w:id="0" w:name="_Hlk94539243"/>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706"/>
        <w:gridCol w:w="3402"/>
        <w:gridCol w:w="3402"/>
      </w:tblGrid>
      <w:tr w:rsidR="003F1212" w:rsidRPr="007F7503" w14:paraId="565E60BA" w14:textId="77777777" w:rsidTr="00773B8B">
        <w:trPr>
          <w:jc w:val="center"/>
        </w:trPr>
        <w:tc>
          <w:tcPr>
            <w:tcW w:w="1691" w:type="dxa"/>
          </w:tcPr>
          <w:p w14:paraId="14D42E29" w14:textId="77777777" w:rsidR="003F1212" w:rsidRPr="007F7503" w:rsidRDefault="003F1212" w:rsidP="00773B8B">
            <w:pPr>
              <w:jc w:val="center"/>
              <w:rPr>
                <w:rFonts w:ascii="Avalon" w:hAnsi="Avalon"/>
                <w:b/>
                <w:bCs/>
                <w:color w:val="000080"/>
              </w:rPr>
            </w:pPr>
            <w:r w:rsidRPr="007F7503">
              <w:rPr>
                <w:rFonts w:ascii="Avalon" w:hAnsi="Avalon"/>
                <w:b/>
                <w:bCs/>
                <w:color w:val="000080"/>
              </w:rPr>
              <w:t>Version :</w:t>
            </w:r>
          </w:p>
        </w:tc>
        <w:tc>
          <w:tcPr>
            <w:tcW w:w="1706" w:type="dxa"/>
          </w:tcPr>
          <w:p w14:paraId="2AFB9052" w14:textId="77777777" w:rsidR="003F1212" w:rsidRPr="007F7503" w:rsidRDefault="003F1212" w:rsidP="00773B8B">
            <w:pPr>
              <w:jc w:val="center"/>
              <w:rPr>
                <w:rFonts w:ascii="Avalon" w:hAnsi="Avalon"/>
                <w:b/>
                <w:bCs/>
                <w:color w:val="000080"/>
              </w:rPr>
            </w:pPr>
            <w:r w:rsidRPr="007F7503">
              <w:rPr>
                <w:rFonts w:ascii="Avalon" w:hAnsi="Avalon"/>
                <w:b/>
                <w:bCs/>
                <w:color w:val="000080"/>
              </w:rPr>
              <w:t>Date de mise à jour</w:t>
            </w:r>
          </w:p>
        </w:tc>
        <w:tc>
          <w:tcPr>
            <w:tcW w:w="3402" w:type="dxa"/>
          </w:tcPr>
          <w:p w14:paraId="0FDC60D3" w14:textId="77777777" w:rsidR="003F1212" w:rsidRPr="007F7503" w:rsidRDefault="003F1212" w:rsidP="00773B8B">
            <w:pPr>
              <w:jc w:val="center"/>
              <w:rPr>
                <w:rFonts w:ascii="Avalon" w:hAnsi="Avalon"/>
                <w:b/>
                <w:bCs/>
                <w:color w:val="000080"/>
              </w:rPr>
            </w:pPr>
            <w:r w:rsidRPr="007F7503">
              <w:rPr>
                <w:rFonts w:ascii="Avalon" w:hAnsi="Avalon"/>
                <w:b/>
                <w:bCs/>
                <w:color w:val="000080"/>
              </w:rPr>
              <w:t>Descriptions des modifications</w:t>
            </w:r>
          </w:p>
        </w:tc>
        <w:tc>
          <w:tcPr>
            <w:tcW w:w="3402" w:type="dxa"/>
          </w:tcPr>
          <w:p w14:paraId="147B39A0" w14:textId="77777777" w:rsidR="003F1212" w:rsidRPr="007F7503" w:rsidRDefault="003F1212" w:rsidP="00773B8B">
            <w:pPr>
              <w:jc w:val="center"/>
              <w:rPr>
                <w:rFonts w:ascii="Avalon" w:hAnsi="Avalon"/>
                <w:b/>
                <w:bCs/>
                <w:color w:val="000080"/>
              </w:rPr>
            </w:pPr>
            <w:r w:rsidRPr="007F7503">
              <w:rPr>
                <w:rFonts w:ascii="Avalon" w:hAnsi="Avalon"/>
                <w:b/>
                <w:bCs/>
                <w:color w:val="000080"/>
              </w:rPr>
              <w:t>Validé par</w:t>
            </w:r>
          </w:p>
        </w:tc>
      </w:tr>
      <w:tr w:rsidR="003F1212" w:rsidRPr="007F7503" w14:paraId="2FD5CD11" w14:textId="77777777" w:rsidTr="00773B8B">
        <w:trPr>
          <w:jc w:val="center"/>
        </w:trPr>
        <w:tc>
          <w:tcPr>
            <w:tcW w:w="1691" w:type="dxa"/>
          </w:tcPr>
          <w:p w14:paraId="7DB1A2D9" w14:textId="77777777" w:rsidR="003F1212" w:rsidRPr="007F7503" w:rsidRDefault="003F1212" w:rsidP="00773B8B">
            <w:pPr>
              <w:rPr>
                <w:rFonts w:ascii="Avalon" w:hAnsi="Avalon"/>
              </w:rPr>
            </w:pPr>
            <w:r w:rsidRPr="007F7503">
              <w:rPr>
                <w:rFonts w:ascii="Avalon" w:hAnsi="Avalon"/>
              </w:rPr>
              <w:t>V1</w:t>
            </w:r>
          </w:p>
        </w:tc>
        <w:tc>
          <w:tcPr>
            <w:tcW w:w="1706" w:type="dxa"/>
          </w:tcPr>
          <w:p w14:paraId="22C15286" w14:textId="77777777" w:rsidR="003F1212" w:rsidRPr="007F7503" w:rsidRDefault="003F1212" w:rsidP="00773B8B">
            <w:pPr>
              <w:rPr>
                <w:rFonts w:ascii="Avalon" w:hAnsi="Avalon"/>
                <w:color w:val="333333"/>
              </w:rPr>
            </w:pPr>
          </w:p>
        </w:tc>
        <w:tc>
          <w:tcPr>
            <w:tcW w:w="3402" w:type="dxa"/>
          </w:tcPr>
          <w:p w14:paraId="6D87A389" w14:textId="77777777" w:rsidR="003F1212" w:rsidRPr="007F7503" w:rsidRDefault="003F1212" w:rsidP="00773B8B">
            <w:pPr>
              <w:rPr>
                <w:rFonts w:ascii="Avalon" w:hAnsi="Avalon"/>
                <w:color w:val="333333"/>
              </w:rPr>
            </w:pPr>
          </w:p>
        </w:tc>
        <w:tc>
          <w:tcPr>
            <w:tcW w:w="3402" w:type="dxa"/>
          </w:tcPr>
          <w:p w14:paraId="0799BC34" w14:textId="4C2559DA" w:rsidR="003F1212" w:rsidRPr="007F7503" w:rsidRDefault="003F1212" w:rsidP="00773B8B">
            <w:pPr>
              <w:jc w:val="center"/>
              <w:rPr>
                <w:rFonts w:ascii="Avalon" w:hAnsi="Avalon"/>
                <w:color w:val="333333"/>
              </w:rPr>
            </w:pPr>
          </w:p>
        </w:tc>
      </w:tr>
      <w:tr w:rsidR="003F1212" w:rsidRPr="007F7503" w14:paraId="3F2ABEBC" w14:textId="77777777" w:rsidTr="00773B8B">
        <w:trPr>
          <w:jc w:val="center"/>
        </w:trPr>
        <w:tc>
          <w:tcPr>
            <w:tcW w:w="1691" w:type="dxa"/>
          </w:tcPr>
          <w:p w14:paraId="3828C52A" w14:textId="77777777" w:rsidR="003F1212" w:rsidRPr="007F7503" w:rsidRDefault="003F1212" w:rsidP="00773B8B">
            <w:pPr>
              <w:rPr>
                <w:rFonts w:ascii="Avalon" w:hAnsi="Avalon"/>
              </w:rPr>
            </w:pPr>
            <w:r w:rsidRPr="007F7503">
              <w:rPr>
                <w:rFonts w:ascii="Avalon" w:hAnsi="Avalon"/>
              </w:rPr>
              <w:t>V2</w:t>
            </w:r>
          </w:p>
        </w:tc>
        <w:tc>
          <w:tcPr>
            <w:tcW w:w="1706" w:type="dxa"/>
          </w:tcPr>
          <w:p w14:paraId="0F20BABF" w14:textId="77777777" w:rsidR="003F1212" w:rsidRPr="007F7503" w:rsidRDefault="003F1212" w:rsidP="00773B8B">
            <w:pPr>
              <w:jc w:val="center"/>
              <w:rPr>
                <w:rFonts w:ascii="Avalon" w:hAnsi="Avalon"/>
              </w:rPr>
            </w:pPr>
          </w:p>
        </w:tc>
        <w:tc>
          <w:tcPr>
            <w:tcW w:w="3402" w:type="dxa"/>
          </w:tcPr>
          <w:p w14:paraId="75A8E6BC" w14:textId="77777777" w:rsidR="003F1212" w:rsidRPr="007F7503" w:rsidRDefault="003F1212" w:rsidP="00773B8B">
            <w:pPr>
              <w:jc w:val="center"/>
              <w:rPr>
                <w:rFonts w:ascii="Avalon" w:hAnsi="Avalon"/>
              </w:rPr>
            </w:pPr>
          </w:p>
        </w:tc>
        <w:tc>
          <w:tcPr>
            <w:tcW w:w="3402" w:type="dxa"/>
          </w:tcPr>
          <w:p w14:paraId="6BA8A0B9" w14:textId="77777777" w:rsidR="003F1212" w:rsidRPr="007F7503" w:rsidRDefault="003F1212" w:rsidP="00773B8B">
            <w:pPr>
              <w:jc w:val="center"/>
              <w:rPr>
                <w:rFonts w:ascii="Avalon" w:hAnsi="Avalon"/>
              </w:rPr>
            </w:pPr>
          </w:p>
        </w:tc>
      </w:tr>
    </w:tbl>
    <w:p w14:paraId="65E410EE" w14:textId="77777777" w:rsidR="003F1212" w:rsidRPr="007F7503" w:rsidRDefault="003F1212" w:rsidP="003F1212">
      <w:pPr>
        <w:rPr>
          <w:rFonts w:ascii="Avalon" w:hAnsi="Avalon"/>
        </w:rPr>
      </w:pPr>
    </w:p>
    <w:bookmarkEnd w:id="0"/>
    <w:p w14:paraId="796A641B" w14:textId="77777777" w:rsidR="003F1212" w:rsidRPr="007F7503" w:rsidRDefault="003F1212" w:rsidP="003F1212">
      <w:pPr>
        <w:rPr>
          <w:rFonts w:ascii="Avalon" w:hAnsi="Avalon"/>
        </w:rPr>
      </w:pPr>
    </w:p>
    <w:p w14:paraId="018F645C" w14:textId="77777777" w:rsidR="003F1212" w:rsidRPr="007F7503" w:rsidRDefault="003F1212" w:rsidP="003F1212">
      <w:pPr>
        <w:rPr>
          <w:rFonts w:ascii="Avalon" w:hAnsi="Avalon"/>
        </w:rPr>
      </w:pPr>
    </w:p>
    <w:p w14:paraId="009B7882" w14:textId="77777777" w:rsidR="003F1212" w:rsidRPr="007F7503" w:rsidRDefault="003F1212">
      <w:pPr>
        <w:rPr>
          <w:rFonts w:ascii="Avalon" w:hAnsi="Avalon"/>
        </w:rPr>
      </w:pPr>
    </w:p>
    <w:p w14:paraId="4AE2C7D2" w14:textId="2F6D534A" w:rsidR="00F9650B" w:rsidRPr="007F7503" w:rsidRDefault="00CE6484" w:rsidP="00E44C24">
      <w:pPr>
        <w:pStyle w:val="Titre1"/>
        <w:jc w:val="both"/>
        <w:rPr>
          <w:rFonts w:ascii="Avalon" w:hAnsi="Avalon" w:cs="Times New Roman"/>
          <w:b w:val="0"/>
        </w:rPr>
      </w:pPr>
      <w:bookmarkStart w:id="1" w:name="_Toc37621314"/>
      <w:bookmarkStart w:id="2" w:name="_Toc105689503"/>
      <w:r w:rsidRPr="007F7503">
        <w:rPr>
          <w:rFonts w:ascii="Avalon" w:hAnsi="Avalon" w:cs="Times New Roman"/>
        </w:rPr>
        <w:t>1</w:t>
      </w:r>
      <w:r w:rsidR="00F9650B" w:rsidRPr="007F7503">
        <w:rPr>
          <w:rFonts w:ascii="Avalon" w:hAnsi="Avalon" w:cs="Times New Roman"/>
        </w:rPr>
        <w:t xml:space="preserve">. </w:t>
      </w:r>
      <w:bookmarkEnd w:id="1"/>
      <w:r w:rsidR="00E94D51" w:rsidRPr="007F7503">
        <w:rPr>
          <w:rFonts w:ascii="Avalon" w:hAnsi="Avalon"/>
        </w:rPr>
        <w:t>Contexte réglementaire</w:t>
      </w:r>
      <w:bookmarkEnd w:id="2"/>
    </w:p>
    <w:p w14:paraId="7755E38D" w14:textId="2885E2DD" w:rsidR="00E94D51" w:rsidRPr="007F7503" w:rsidRDefault="00E94D51" w:rsidP="00E94D51">
      <w:pPr>
        <w:jc w:val="both"/>
        <w:rPr>
          <w:rFonts w:ascii="Avalon" w:hAnsi="Avalon"/>
          <w:color w:val="333333"/>
        </w:rPr>
      </w:pPr>
    </w:p>
    <w:p w14:paraId="5E11B309" w14:textId="51DB1D44" w:rsidR="00E94D51" w:rsidRPr="007F7503" w:rsidRDefault="00E94D51" w:rsidP="00E94D51">
      <w:pPr>
        <w:jc w:val="both"/>
        <w:rPr>
          <w:rFonts w:ascii="Avalon" w:hAnsi="Avalon"/>
        </w:rPr>
      </w:pPr>
      <w:r w:rsidRPr="007F7503">
        <w:rPr>
          <w:rFonts w:ascii="Avalon" w:hAnsi="Avalon"/>
        </w:rPr>
        <w:t>L’article 29 de la loi 2019-1147 du 8 novembre 2019 relative à l’énergie et au climat, dite « énergie climat » (« article 29 ») modifie les dispositions de l’article L. 533-22-1 du code monétaire et financier (« CMF ») relatives au rapport extra-financier.</w:t>
      </w:r>
    </w:p>
    <w:p w14:paraId="5DFE8B13" w14:textId="77777777" w:rsidR="00E94D51" w:rsidRPr="007F7503" w:rsidRDefault="00E94D51" w:rsidP="00E94D51">
      <w:pPr>
        <w:jc w:val="both"/>
        <w:rPr>
          <w:rFonts w:ascii="Avalon" w:hAnsi="Avalon"/>
        </w:rPr>
      </w:pPr>
    </w:p>
    <w:p w14:paraId="680E4DD0" w14:textId="77777777" w:rsidR="00E94D51" w:rsidRPr="007F7503" w:rsidRDefault="00E94D51" w:rsidP="00E94D51">
      <w:pPr>
        <w:jc w:val="both"/>
        <w:rPr>
          <w:rFonts w:ascii="Avalon" w:hAnsi="Avalon"/>
        </w:rPr>
      </w:pPr>
      <w:r w:rsidRPr="007F7503">
        <w:rPr>
          <w:rFonts w:ascii="Avalon" w:hAnsi="Avalon"/>
        </w:rPr>
        <w:t>Publié le 27 mai 2021, le décret d’application de l’article 29, qui modifie l’article D. 533-16-1 du CMF, détaille les informations à publier dans ce rapport, concernant :</w:t>
      </w:r>
    </w:p>
    <w:p w14:paraId="07CC13D6" w14:textId="10C0DC96" w:rsidR="00E94D51" w:rsidRPr="007F7503" w:rsidRDefault="00E94D51" w:rsidP="001C0F0F">
      <w:pPr>
        <w:pStyle w:val="Paragraphedeliste"/>
        <w:numPr>
          <w:ilvl w:val="0"/>
          <w:numId w:val="5"/>
        </w:numPr>
        <w:jc w:val="both"/>
        <w:rPr>
          <w:rFonts w:ascii="Avalon" w:hAnsi="Avalon"/>
          <w:color w:val="333333"/>
        </w:rPr>
      </w:pPr>
      <w:r w:rsidRPr="007F7503">
        <w:rPr>
          <w:rFonts w:ascii="Avalon" w:hAnsi="Avalon"/>
          <w:color w:val="333333"/>
        </w:rPr>
        <w:t>La prise en compte dans la politique d’investissement, des critères environnementaux, sociaux et de gouvernance (« critères ESG ») ;</w:t>
      </w:r>
    </w:p>
    <w:p w14:paraId="3B21A21A" w14:textId="77777777" w:rsidR="00E94D51" w:rsidRPr="007F7503" w:rsidRDefault="00E94D51" w:rsidP="001C0F0F">
      <w:pPr>
        <w:pStyle w:val="Paragraphedeliste"/>
        <w:numPr>
          <w:ilvl w:val="0"/>
          <w:numId w:val="5"/>
        </w:numPr>
        <w:jc w:val="both"/>
        <w:rPr>
          <w:rFonts w:ascii="Avalon" w:hAnsi="Avalon"/>
          <w:color w:val="333333"/>
        </w:rPr>
      </w:pPr>
      <w:r w:rsidRPr="007F7503">
        <w:rPr>
          <w:rFonts w:ascii="Avalon" w:hAnsi="Avalon"/>
          <w:color w:val="333333"/>
        </w:rPr>
        <w:t>Les moyens mis en place pour contribuer à la transition énergétique et écologique.</w:t>
      </w:r>
    </w:p>
    <w:p w14:paraId="38A010AD" w14:textId="77777777" w:rsidR="007C57C6" w:rsidRPr="007F7503" w:rsidRDefault="007C57C6" w:rsidP="007C57C6">
      <w:pPr>
        <w:jc w:val="both"/>
        <w:rPr>
          <w:rFonts w:ascii="Avalon" w:hAnsi="Avalon"/>
          <w:color w:val="333333"/>
        </w:rPr>
      </w:pPr>
    </w:p>
    <w:p w14:paraId="0BD2D754" w14:textId="47C6966E" w:rsidR="009D0B1D" w:rsidRPr="007F7503" w:rsidRDefault="009D0B1D" w:rsidP="009D0B1D">
      <w:pPr>
        <w:pStyle w:val="Titre1"/>
        <w:jc w:val="both"/>
        <w:rPr>
          <w:rFonts w:ascii="Avalon" w:hAnsi="Avalon" w:cs="Times New Roman"/>
        </w:rPr>
      </w:pPr>
      <w:bookmarkStart w:id="3" w:name="_Toc105689504"/>
      <w:r w:rsidRPr="007F7503">
        <w:rPr>
          <w:rFonts w:ascii="Avalon" w:hAnsi="Avalon" w:cs="Times New Roman"/>
        </w:rPr>
        <w:t xml:space="preserve">2. </w:t>
      </w:r>
      <w:r w:rsidR="003F1212" w:rsidRPr="007F7503">
        <w:rPr>
          <w:rFonts w:ascii="Avalon" w:hAnsi="Avalon" w:cs="Times New Roman"/>
        </w:rPr>
        <w:t>I</w:t>
      </w:r>
      <w:r w:rsidR="00E94D51" w:rsidRPr="007F7503">
        <w:rPr>
          <w:rFonts w:ascii="Avalon" w:hAnsi="Avalon" w:cs="Times New Roman"/>
        </w:rPr>
        <w:t>ntroduction</w:t>
      </w:r>
      <w:bookmarkEnd w:id="3"/>
    </w:p>
    <w:p w14:paraId="1BED46A6" w14:textId="67F84AFE" w:rsidR="003A0796" w:rsidRPr="007F7503" w:rsidRDefault="003A0796" w:rsidP="003A0796">
      <w:pPr>
        <w:rPr>
          <w:rFonts w:ascii="Avalon" w:hAnsi="Avalon"/>
        </w:rPr>
      </w:pPr>
    </w:p>
    <w:p w14:paraId="20BF92B3" w14:textId="102F5906" w:rsidR="00E6546E" w:rsidRPr="007F7503" w:rsidRDefault="00E6546E" w:rsidP="00E6546E">
      <w:pPr>
        <w:jc w:val="both"/>
        <w:rPr>
          <w:rFonts w:ascii="Avalon" w:hAnsi="Avalon"/>
          <w:sz w:val="22"/>
          <w:szCs w:val="22"/>
        </w:rPr>
      </w:pPr>
      <w:r w:rsidRPr="008757EA">
        <w:rPr>
          <w:rFonts w:ascii="Avalon" w:hAnsi="Avalon"/>
          <w:sz w:val="22"/>
          <w:szCs w:val="22"/>
        </w:rPr>
        <w:t>Alven est une société de gestion indépendante de capital-risque créée en 2000, investissant essentiellement dans les technologies digitales à forte croissance. La société investit à travers des FPCI, essentiellement en France et en Europe.</w:t>
      </w:r>
      <w:r w:rsidR="000A4332" w:rsidRPr="008757EA">
        <w:rPr>
          <w:rFonts w:ascii="Avalon" w:hAnsi="Avalon"/>
          <w:sz w:val="22"/>
          <w:szCs w:val="22"/>
        </w:rPr>
        <w:t xml:space="preserve"> A ce jour, la société gère 7 FPCI avec un engagement de souscription de </w:t>
      </w:r>
      <w:r w:rsidR="00BF64E0" w:rsidRPr="008757EA">
        <w:rPr>
          <w:rFonts w:ascii="Avalon" w:hAnsi="Avalon"/>
          <w:sz w:val="22"/>
          <w:szCs w:val="22"/>
        </w:rPr>
        <w:t>920 M€.</w:t>
      </w:r>
    </w:p>
    <w:p w14:paraId="0B8DC8E7" w14:textId="77777777" w:rsidR="003A0796" w:rsidRPr="007F7503" w:rsidRDefault="003A0796" w:rsidP="003A0796">
      <w:pPr>
        <w:rPr>
          <w:rFonts w:ascii="Avalon" w:hAnsi="Avalon"/>
        </w:rPr>
      </w:pPr>
    </w:p>
    <w:p w14:paraId="2A18341B" w14:textId="36BC1181" w:rsidR="003A0796" w:rsidRPr="007F7503" w:rsidRDefault="003A0796" w:rsidP="003A0796">
      <w:pPr>
        <w:pStyle w:val="Titre1"/>
        <w:jc w:val="both"/>
        <w:rPr>
          <w:rFonts w:ascii="Avalon" w:hAnsi="Avalon" w:cs="Times New Roman"/>
        </w:rPr>
      </w:pPr>
      <w:bookmarkStart w:id="4" w:name="_Toc105689505"/>
      <w:r w:rsidRPr="007F7503">
        <w:rPr>
          <w:rFonts w:ascii="Avalon" w:hAnsi="Avalon" w:cs="Times New Roman"/>
        </w:rPr>
        <w:t>3. Article D. 533-16-1, 2° du CMF</w:t>
      </w:r>
      <w:bookmarkEnd w:id="4"/>
    </w:p>
    <w:p w14:paraId="5323967C" w14:textId="77777777" w:rsidR="00DE062A" w:rsidRPr="007F7503" w:rsidRDefault="00DE062A" w:rsidP="003A0796">
      <w:pPr>
        <w:jc w:val="both"/>
        <w:rPr>
          <w:rFonts w:ascii="Avalon" w:hAnsi="Avalon" w:cs="Arial"/>
          <w:b/>
          <w:bCs/>
          <w:color w:val="002060"/>
        </w:rPr>
      </w:pPr>
    </w:p>
    <w:p w14:paraId="1DD1AC4F" w14:textId="0086E881" w:rsidR="003A0796" w:rsidRPr="007F7503" w:rsidRDefault="003A0796" w:rsidP="001C0F0F">
      <w:pPr>
        <w:pStyle w:val="T2modleAGAMA"/>
        <w:numPr>
          <w:ilvl w:val="0"/>
          <w:numId w:val="6"/>
        </w:numPr>
        <w:rPr>
          <w:rFonts w:ascii="Avalon" w:hAnsi="Avalon"/>
        </w:rPr>
      </w:pPr>
      <w:bookmarkStart w:id="5" w:name="_Toc105689506"/>
      <w:r w:rsidRPr="007F7503">
        <w:rPr>
          <w:rFonts w:ascii="Avalon" w:hAnsi="Avalon"/>
        </w:rPr>
        <w:t>Article D. 533-16-1, II, 2°, a – Part en pourcentage et montant en euros des encours du bilan</w:t>
      </w:r>
      <w:bookmarkEnd w:id="5"/>
    </w:p>
    <w:p w14:paraId="1A2FED00" w14:textId="77777777" w:rsidR="00AF3C1B" w:rsidRPr="007F7503" w:rsidRDefault="00AF3C1B" w:rsidP="006118AA">
      <w:pPr>
        <w:jc w:val="both"/>
        <w:rPr>
          <w:rFonts w:ascii="Avalon" w:hAnsi="Avalon"/>
        </w:rPr>
      </w:pPr>
    </w:p>
    <w:p w14:paraId="76361CE2" w14:textId="33DB7C66" w:rsidR="00AF3C1B" w:rsidRPr="007F7503" w:rsidRDefault="000A4332" w:rsidP="006118AA">
      <w:pPr>
        <w:rPr>
          <w:rFonts w:ascii="Avalon" w:hAnsi="Avalon"/>
          <w:sz w:val="22"/>
          <w:szCs w:val="22"/>
        </w:rPr>
      </w:pPr>
      <w:r w:rsidRPr="008757EA">
        <w:rPr>
          <w:rFonts w:ascii="Avalon" w:hAnsi="Avalon"/>
          <w:sz w:val="22"/>
          <w:szCs w:val="22"/>
        </w:rPr>
        <w:t>Non applicable</w:t>
      </w:r>
    </w:p>
    <w:p w14:paraId="24C4939A" w14:textId="77777777" w:rsidR="003A0796" w:rsidRPr="007F7503" w:rsidRDefault="003A0796" w:rsidP="006118AA">
      <w:pPr>
        <w:jc w:val="both"/>
        <w:rPr>
          <w:rFonts w:ascii="Avalon" w:hAnsi="Avalon" w:cs="Arial"/>
          <w:b/>
          <w:bCs/>
          <w:color w:val="002060"/>
        </w:rPr>
      </w:pPr>
    </w:p>
    <w:p w14:paraId="245F4B58" w14:textId="77777777" w:rsidR="003A0796" w:rsidRPr="007F7503" w:rsidRDefault="003A0796" w:rsidP="001C0F0F">
      <w:pPr>
        <w:pStyle w:val="T2modleAGAMA"/>
        <w:numPr>
          <w:ilvl w:val="0"/>
          <w:numId w:val="6"/>
        </w:numPr>
        <w:rPr>
          <w:rFonts w:ascii="Avalon" w:hAnsi="Avalon"/>
        </w:rPr>
      </w:pPr>
      <w:bookmarkStart w:id="6" w:name="_Toc105689507"/>
      <w:r w:rsidRPr="007F7503">
        <w:rPr>
          <w:rFonts w:ascii="Avalon" w:hAnsi="Avalon"/>
        </w:rPr>
        <w:t>Article D. 533-16-1, II, 2°, b – Périmètre des entités et produits financiers auxquels la prise en compte des critères ESG s’applique</w:t>
      </w:r>
      <w:bookmarkEnd w:id="6"/>
      <w:r w:rsidRPr="007F7503">
        <w:rPr>
          <w:rFonts w:ascii="Avalon" w:hAnsi="Avalon"/>
        </w:rPr>
        <w:t xml:space="preserve"> </w:t>
      </w:r>
    </w:p>
    <w:p w14:paraId="0F1E8051" w14:textId="77777777" w:rsidR="00AF3C1B" w:rsidRPr="007F7503" w:rsidRDefault="00AF3C1B" w:rsidP="006118AA">
      <w:pPr>
        <w:jc w:val="both"/>
        <w:rPr>
          <w:rFonts w:ascii="Avalon" w:hAnsi="Avalon" w:cs="Arial"/>
        </w:rPr>
      </w:pPr>
    </w:p>
    <w:p w14:paraId="76DA44FC" w14:textId="282B7590" w:rsidR="003A0796" w:rsidRPr="007F7503" w:rsidRDefault="00BF64E0" w:rsidP="006118AA">
      <w:pPr>
        <w:rPr>
          <w:rFonts w:ascii="Avalon" w:hAnsi="Avalon"/>
          <w:sz w:val="22"/>
          <w:szCs w:val="22"/>
        </w:rPr>
      </w:pPr>
      <w:r w:rsidRPr="008757EA">
        <w:rPr>
          <w:rFonts w:ascii="Avalon" w:hAnsi="Avalon"/>
          <w:sz w:val="22"/>
          <w:szCs w:val="22"/>
        </w:rPr>
        <w:t>Les critères ESG s’appliquent à la totalité des portefeuilles gérés.</w:t>
      </w:r>
    </w:p>
    <w:p w14:paraId="2E956578" w14:textId="77777777" w:rsidR="003A0796" w:rsidRPr="007F7503" w:rsidRDefault="003A0796" w:rsidP="006118AA">
      <w:pPr>
        <w:jc w:val="both"/>
        <w:rPr>
          <w:rFonts w:ascii="Avalon" w:hAnsi="Avalon" w:cs="Arial"/>
          <w:b/>
          <w:bCs/>
          <w:i/>
          <w:iCs/>
          <w:color w:val="002060"/>
        </w:rPr>
      </w:pPr>
    </w:p>
    <w:p w14:paraId="3462720E" w14:textId="77777777" w:rsidR="003A0796" w:rsidRPr="007F7503" w:rsidRDefault="003A0796" w:rsidP="001C0F0F">
      <w:pPr>
        <w:pStyle w:val="T2modleAGAMA"/>
        <w:numPr>
          <w:ilvl w:val="0"/>
          <w:numId w:val="6"/>
        </w:numPr>
        <w:rPr>
          <w:rFonts w:ascii="Avalon" w:hAnsi="Avalon"/>
        </w:rPr>
      </w:pPr>
      <w:bookmarkStart w:id="7" w:name="_Toc105689508"/>
      <w:r w:rsidRPr="007F7503">
        <w:rPr>
          <w:rFonts w:ascii="Avalon" w:hAnsi="Avalon"/>
        </w:rPr>
        <w:t>Article D. 533-16-1, II, 2°, c – Part de données estimées ou données réelles, sur le total des encours gérés par l’entité et, le cas échéant, sur le total des encours du produit financier concerné</w:t>
      </w:r>
      <w:bookmarkEnd w:id="7"/>
    </w:p>
    <w:p w14:paraId="07CA5DD1" w14:textId="77777777" w:rsidR="00AF3C1B" w:rsidRPr="007F7503" w:rsidRDefault="00AF3C1B" w:rsidP="006118AA">
      <w:pPr>
        <w:jc w:val="both"/>
        <w:rPr>
          <w:rFonts w:ascii="Avalon" w:hAnsi="Avalon" w:cs="Arial"/>
        </w:rPr>
      </w:pPr>
    </w:p>
    <w:p w14:paraId="3FBE452C" w14:textId="3CE2CAEF" w:rsidR="003A0796" w:rsidRPr="007F7503" w:rsidRDefault="00BF64E0" w:rsidP="006118AA">
      <w:pPr>
        <w:rPr>
          <w:rFonts w:ascii="Avalon" w:hAnsi="Avalon"/>
          <w:sz w:val="22"/>
          <w:szCs w:val="22"/>
        </w:rPr>
      </w:pPr>
      <w:r w:rsidRPr="008757EA">
        <w:rPr>
          <w:rFonts w:ascii="Avalon" w:hAnsi="Avalon"/>
          <w:sz w:val="22"/>
          <w:szCs w:val="22"/>
        </w:rPr>
        <w:t>100% des encours gérés.</w:t>
      </w:r>
    </w:p>
    <w:p w14:paraId="01708AC5" w14:textId="77777777" w:rsidR="003A0796" w:rsidRPr="007F7503" w:rsidRDefault="003A0796" w:rsidP="006118AA">
      <w:pPr>
        <w:jc w:val="both"/>
        <w:rPr>
          <w:rFonts w:ascii="Avalon" w:hAnsi="Avalon" w:cs="Arial"/>
          <w:color w:val="002060"/>
        </w:rPr>
      </w:pPr>
    </w:p>
    <w:p w14:paraId="55885C9D" w14:textId="77777777" w:rsidR="003A0796" w:rsidRPr="007F7503" w:rsidRDefault="003A0796" w:rsidP="001C0F0F">
      <w:pPr>
        <w:pStyle w:val="T2modleAGAMA"/>
        <w:numPr>
          <w:ilvl w:val="0"/>
          <w:numId w:val="6"/>
        </w:numPr>
        <w:rPr>
          <w:rFonts w:ascii="Avalon" w:hAnsi="Avalon"/>
        </w:rPr>
      </w:pPr>
      <w:bookmarkStart w:id="8" w:name="_Toc105689509"/>
      <w:r w:rsidRPr="007F7503">
        <w:rPr>
          <w:rFonts w:ascii="Avalon" w:hAnsi="Avalon"/>
        </w:rPr>
        <w:t>Article D. 533-16-1, II, 2°, d et e – Lorsqu’un échéancier est fixé, la date d’entrée en vigueur des engagements, et méthodologies et bases de données sur lesquelles s’appuie l’analyse quantitative, le cas échéant</w:t>
      </w:r>
      <w:bookmarkEnd w:id="8"/>
    </w:p>
    <w:p w14:paraId="3674E838" w14:textId="77777777" w:rsidR="00AF3C1B" w:rsidRPr="007F7503" w:rsidRDefault="00AF3C1B" w:rsidP="006118AA">
      <w:pPr>
        <w:jc w:val="both"/>
        <w:rPr>
          <w:rFonts w:ascii="Avalon" w:hAnsi="Avalon" w:cs="Arial"/>
        </w:rPr>
      </w:pPr>
    </w:p>
    <w:p w14:paraId="3DFD813D" w14:textId="175382CA" w:rsidR="00AF3C1B" w:rsidRPr="007F7503" w:rsidRDefault="00145DA7" w:rsidP="008757EA">
      <w:pPr>
        <w:jc w:val="both"/>
        <w:rPr>
          <w:rFonts w:ascii="Avalon" w:hAnsi="Avalon"/>
          <w:sz w:val="22"/>
          <w:szCs w:val="22"/>
        </w:rPr>
      </w:pPr>
      <w:r w:rsidRPr="008757EA">
        <w:rPr>
          <w:rFonts w:ascii="Avalon" w:hAnsi="Avalon"/>
          <w:sz w:val="22"/>
          <w:szCs w:val="22"/>
        </w:rPr>
        <w:t>Les objectifs ont été établi</w:t>
      </w:r>
      <w:r w:rsidR="00BA4D03" w:rsidRPr="008757EA">
        <w:rPr>
          <w:rFonts w:ascii="Avalon" w:hAnsi="Avalon"/>
          <w:sz w:val="22"/>
          <w:szCs w:val="22"/>
        </w:rPr>
        <w:t>s</w:t>
      </w:r>
      <w:r w:rsidRPr="008757EA">
        <w:rPr>
          <w:rFonts w:ascii="Avalon" w:hAnsi="Avalon"/>
          <w:sz w:val="22"/>
          <w:szCs w:val="22"/>
        </w:rPr>
        <w:t xml:space="preserve"> par la société de gestion et sont applicable dès le moment de la décision</w:t>
      </w:r>
      <w:r w:rsidR="00BA4D03" w:rsidRPr="008757EA">
        <w:rPr>
          <w:rFonts w:ascii="Avalon" w:hAnsi="Avalon"/>
          <w:sz w:val="22"/>
          <w:szCs w:val="22"/>
        </w:rPr>
        <w:t xml:space="preserve"> d’investissement</w:t>
      </w:r>
      <w:r w:rsidRPr="008757EA">
        <w:rPr>
          <w:rFonts w:ascii="Avalon" w:hAnsi="Avalon"/>
          <w:sz w:val="22"/>
          <w:szCs w:val="22"/>
        </w:rPr>
        <w:t xml:space="preserve">. L’analyse quantitative se base sur les différents questionnaires envoyés aux sociétés du portefeuille annuellement ainsi que sur les résultats de </w:t>
      </w:r>
      <w:proofErr w:type="gramStart"/>
      <w:r w:rsidRPr="008757EA">
        <w:rPr>
          <w:rFonts w:ascii="Avalon" w:hAnsi="Avalon"/>
          <w:sz w:val="22"/>
          <w:szCs w:val="22"/>
        </w:rPr>
        <w:t>leurs bilans carbone</w:t>
      </w:r>
      <w:proofErr w:type="gramEnd"/>
      <w:r w:rsidRPr="008757EA">
        <w:rPr>
          <w:rFonts w:ascii="Avalon" w:hAnsi="Avalon"/>
          <w:sz w:val="22"/>
          <w:szCs w:val="22"/>
        </w:rPr>
        <w:t>.</w:t>
      </w:r>
    </w:p>
    <w:p w14:paraId="5E02FB5C" w14:textId="77777777" w:rsidR="003A0796" w:rsidRPr="007F7503" w:rsidRDefault="003A0796" w:rsidP="00BA4D03">
      <w:pPr>
        <w:jc w:val="both"/>
        <w:rPr>
          <w:rFonts w:ascii="Avalon" w:hAnsi="Avalon" w:cs="Arial"/>
          <w:sz w:val="20"/>
          <w:szCs w:val="20"/>
        </w:rPr>
      </w:pPr>
    </w:p>
    <w:p w14:paraId="3371E392" w14:textId="4D14D101" w:rsidR="003A0796" w:rsidRPr="007F7503" w:rsidRDefault="003A0796" w:rsidP="003A0796">
      <w:pPr>
        <w:pStyle w:val="Titre1"/>
        <w:jc w:val="both"/>
        <w:rPr>
          <w:rFonts w:ascii="Avalon" w:hAnsi="Avalon" w:cs="Times New Roman"/>
        </w:rPr>
      </w:pPr>
      <w:bookmarkStart w:id="9" w:name="_Toc105689510"/>
      <w:r w:rsidRPr="007F7503">
        <w:rPr>
          <w:rFonts w:ascii="Avalon" w:hAnsi="Avalon" w:cs="Times New Roman"/>
        </w:rPr>
        <w:t>4. Article D. 533-16-1, III, 1° – Informations relatives à la démarche générale de la société de gestion</w:t>
      </w:r>
      <w:bookmarkEnd w:id="9"/>
    </w:p>
    <w:p w14:paraId="16B243AA" w14:textId="77777777" w:rsidR="006118AA" w:rsidRPr="007F7503" w:rsidRDefault="006118AA" w:rsidP="00DF35FA">
      <w:pPr>
        <w:pStyle w:val="T2modleAGAMA"/>
        <w:numPr>
          <w:ilvl w:val="0"/>
          <w:numId w:val="0"/>
        </w:numPr>
        <w:ind w:left="1069"/>
        <w:rPr>
          <w:rFonts w:ascii="Avalon" w:hAnsi="Avalon"/>
        </w:rPr>
      </w:pPr>
    </w:p>
    <w:p w14:paraId="33342823" w14:textId="4FDA9A43" w:rsidR="003A0796" w:rsidRPr="007F7503" w:rsidRDefault="003A0796" w:rsidP="00DF35FA">
      <w:pPr>
        <w:pStyle w:val="T2modleAGAMA"/>
        <w:rPr>
          <w:rFonts w:ascii="Avalon" w:hAnsi="Avalon"/>
        </w:rPr>
      </w:pPr>
      <w:bookmarkStart w:id="10" w:name="_Toc105689511"/>
      <w:r w:rsidRPr="007F7503">
        <w:rPr>
          <w:rFonts w:ascii="Avalon" w:hAnsi="Avalon"/>
        </w:rPr>
        <w:t>Article D. 533-16-1, III, 1°, a – Présentation résumée de la démarche générale de l’entité sur la prise en compte des critères ESG dans la politique et stratégie d’investissement</w:t>
      </w:r>
      <w:bookmarkEnd w:id="10"/>
    </w:p>
    <w:p w14:paraId="105CDD73" w14:textId="77777777" w:rsidR="006118AA" w:rsidRPr="007F7503" w:rsidRDefault="006118AA" w:rsidP="00DF35FA">
      <w:pPr>
        <w:pStyle w:val="T2modleAGAMA"/>
        <w:numPr>
          <w:ilvl w:val="0"/>
          <w:numId w:val="0"/>
        </w:numPr>
        <w:rPr>
          <w:rFonts w:ascii="Avalon" w:hAnsi="Avalon"/>
        </w:rPr>
      </w:pPr>
    </w:p>
    <w:p w14:paraId="2E838AD6" w14:textId="77777777" w:rsidR="00E6546E" w:rsidRPr="008757EA" w:rsidRDefault="00E6546E" w:rsidP="00E6546E">
      <w:pPr>
        <w:jc w:val="both"/>
        <w:rPr>
          <w:rFonts w:ascii="Avalon" w:hAnsi="Avalon"/>
          <w:sz w:val="22"/>
          <w:szCs w:val="22"/>
        </w:rPr>
      </w:pPr>
      <w:r w:rsidRPr="008757EA">
        <w:rPr>
          <w:rFonts w:ascii="Avalon" w:hAnsi="Avalon"/>
          <w:sz w:val="22"/>
          <w:szCs w:val="22"/>
        </w:rPr>
        <w:t>Alven, en tant qu’investisseur responsable est particulièrement attaché à honorer sa responsabilité d’actionnaire et recherche la performance de ses investissements dans une perspective de création de valeur à long terme.</w:t>
      </w:r>
    </w:p>
    <w:p w14:paraId="3EDB2BAC" w14:textId="77777777" w:rsidR="00E6546E" w:rsidRPr="008757EA" w:rsidRDefault="00E6546E" w:rsidP="00E6546E">
      <w:pPr>
        <w:jc w:val="both"/>
        <w:rPr>
          <w:rFonts w:ascii="Avalon" w:hAnsi="Avalon"/>
          <w:sz w:val="22"/>
          <w:szCs w:val="22"/>
        </w:rPr>
      </w:pPr>
    </w:p>
    <w:p w14:paraId="07721168" w14:textId="11A34001" w:rsidR="00E6546E" w:rsidRPr="008757EA" w:rsidRDefault="00E6546E" w:rsidP="00E6546E">
      <w:pPr>
        <w:jc w:val="both"/>
        <w:rPr>
          <w:rFonts w:ascii="Avalon" w:hAnsi="Avalon"/>
          <w:sz w:val="22"/>
          <w:szCs w:val="22"/>
        </w:rPr>
      </w:pPr>
      <w:r w:rsidRPr="008757EA">
        <w:rPr>
          <w:rFonts w:ascii="Avalon" w:hAnsi="Avalon"/>
          <w:sz w:val="22"/>
          <w:szCs w:val="22"/>
        </w:rPr>
        <w:t>Alven s’engage à être un partenaire actif de ses participations, dans le cadre de relations de confiance. A cet égard, les performances financières sont indissociables de l’adoption des meilleures pratiques ESG, Alven entend jouer un rôle de sensibilisation mais également avoir un réel impact sur les actions extra financières des sociétés de son portefeuille avec une attention toute particulière portée sur deux sujets : la mixité et la décarbonation.</w:t>
      </w:r>
    </w:p>
    <w:p w14:paraId="71CF03A8" w14:textId="77777777" w:rsidR="00E6546E" w:rsidRPr="008757EA" w:rsidRDefault="00E6546E" w:rsidP="00E6546E">
      <w:pPr>
        <w:jc w:val="both"/>
        <w:rPr>
          <w:rFonts w:ascii="Avalon" w:hAnsi="Avalon"/>
          <w:sz w:val="22"/>
          <w:szCs w:val="22"/>
        </w:rPr>
      </w:pPr>
    </w:p>
    <w:p w14:paraId="3E127835" w14:textId="67FFB807" w:rsidR="00E6546E" w:rsidRPr="008757EA" w:rsidRDefault="00E6546E" w:rsidP="00E6546E">
      <w:pPr>
        <w:jc w:val="both"/>
        <w:rPr>
          <w:rFonts w:ascii="Avalon" w:hAnsi="Avalon"/>
          <w:sz w:val="22"/>
          <w:szCs w:val="22"/>
        </w:rPr>
      </w:pPr>
      <w:r w:rsidRPr="008757EA">
        <w:rPr>
          <w:rFonts w:ascii="Avalon" w:hAnsi="Avalon"/>
          <w:sz w:val="22"/>
          <w:szCs w:val="22"/>
        </w:rPr>
        <w:t>Mixité : Alven est particulièrement attentif à s’approcher d’un meilleur équilibre entre les profils masculins / féminins des sociétés qu’elle finance. A ce jour, Alven a financé 1</w:t>
      </w:r>
      <w:r w:rsidR="00145DA7" w:rsidRPr="008757EA">
        <w:rPr>
          <w:rFonts w:ascii="Avalon" w:hAnsi="Avalon"/>
          <w:sz w:val="22"/>
          <w:szCs w:val="22"/>
        </w:rPr>
        <w:t>5</w:t>
      </w:r>
      <w:r w:rsidRPr="008757EA">
        <w:rPr>
          <w:rFonts w:ascii="Avalon" w:hAnsi="Avalon"/>
          <w:sz w:val="22"/>
          <w:szCs w:val="22"/>
        </w:rPr>
        <w:t xml:space="preserve"> sociétés dirigées, fondées ou co-fondées par des femmes et s’engage à horizon 2025 à accroître substantiellement ses nouveaux investissements ayant au moins une femme parmi les fondateurs, ainsi que le nombre de femmes au niveau des comités de direction de ses sociétés en portefeuille.</w:t>
      </w:r>
    </w:p>
    <w:p w14:paraId="108501FF" w14:textId="77777777" w:rsidR="00E6546E" w:rsidRPr="008757EA" w:rsidRDefault="00E6546E" w:rsidP="00E6546E">
      <w:pPr>
        <w:jc w:val="both"/>
        <w:rPr>
          <w:rFonts w:ascii="Avalon" w:hAnsi="Avalon"/>
          <w:sz w:val="22"/>
          <w:szCs w:val="22"/>
        </w:rPr>
      </w:pPr>
    </w:p>
    <w:p w14:paraId="659A5049" w14:textId="2DCC4522" w:rsidR="00E6546E" w:rsidRPr="008757EA" w:rsidRDefault="00E6546E" w:rsidP="00E6546E">
      <w:pPr>
        <w:jc w:val="both"/>
        <w:rPr>
          <w:rFonts w:ascii="Avalon" w:hAnsi="Avalon"/>
          <w:sz w:val="22"/>
          <w:szCs w:val="22"/>
        </w:rPr>
      </w:pPr>
      <w:r w:rsidRPr="008757EA">
        <w:rPr>
          <w:rFonts w:ascii="Avalon" w:hAnsi="Avalon"/>
          <w:sz w:val="22"/>
          <w:szCs w:val="22"/>
        </w:rPr>
        <w:t>Décarbonation : Alven s’est fixé pour objectif à horizon 2025 d’avoir le plus possible de sociétés du portefeuille de plus de 30 salariés qui mesurent et compensent leur empreinte carbone.</w:t>
      </w:r>
    </w:p>
    <w:p w14:paraId="35C4D340" w14:textId="77777777" w:rsidR="005648ED" w:rsidRPr="008757EA" w:rsidRDefault="005648ED" w:rsidP="006118AA">
      <w:pPr>
        <w:jc w:val="both"/>
        <w:rPr>
          <w:rFonts w:ascii="Avalon" w:hAnsi="Avalon" w:cs="Arial"/>
          <w:b/>
          <w:bCs/>
          <w:color w:val="002060"/>
        </w:rPr>
      </w:pPr>
    </w:p>
    <w:p w14:paraId="35F4723D" w14:textId="77777777" w:rsidR="003A0796" w:rsidRPr="008757EA" w:rsidRDefault="003A0796" w:rsidP="00DF35FA">
      <w:pPr>
        <w:pStyle w:val="T2modleAGAMA"/>
        <w:rPr>
          <w:rFonts w:ascii="Avalon" w:hAnsi="Avalon"/>
        </w:rPr>
      </w:pPr>
      <w:bookmarkStart w:id="11" w:name="_Toc105689513"/>
      <w:r w:rsidRPr="008757EA">
        <w:rPr>
          <w:rFonts w:ascii="Avalon" w:hAnsi="Avalon"/>
        </w:rPr>
        <w:t>Article D. 533-16-1, III, 1°, c – Pourcentage des encours sous gestion catégorisé article 8 et 9 selon le règlement SFDR</w:t>
      </w:r>
      <w:bookmarkEnd w:id="11"/>
    </w:p>
    <w:p w14:paraId="0C70F5A6" w14:textId="77777777" w:rsidR="002E3164" w:rsidRPr="008757EA" w:rsidRDefault="002E3164" w:rsidP="006118AA">
      <w:pPr>
        <w:jc w:val="both"/>
        <w:rPr>
          <w:rFonts w:ascii="Avalon" w:hAnsi="Avalon" w:cs="Arial"/>
        </w:rPr>
      </w:pPr>
    </w:p>
    <w:p w14:paraId="187C7DAF" w14:textId="70FFAB9A" w:rsidR="003A0796" w:rsidRPr="008757EA" w:rsidRDefault="00E6546E" w:rsidP="006118AA">
      <w:pPr>
        <w:jc w:val="both"/>
        <w:rPr>
          <w:rFonts w:ascii="Avalon" w:hAnsi="Avalon"/>
          <w:sz w:val="22"/>
          <w:szCs w:val="22"/>
        </w:rPr>
      </w:pPr>
      <w:r w:rsidRPr="008757EA">
        <w:rPr>
          <w:rFonts w:ascii="Avalon" w:hAnsi="Avalon"/>
          <w:sz w:val="22"/>
          <w:szCs w:val="22"/>
        </w:rPr>
        <w:t>Au 31/12/2021, 0% des encours sous gestion n’était catégorisé selon l’article 8 ou 9 du règlement SFDR.</w:t>
      </w:r>
    </w:p>
    <w:p w14:paraId="4CE77174" w14:textId="77777777" w:rsidR="005648ED" w:rsidRPr="008757EA" w:rsidRDefault="005648ED" w:rsidP="006118AA">
      <w:pPr>
        <w:jc w:val="both"/>
        <w:rPr>
          <w:rFonts w:ascii="Avalon" w:hAnsi="Avalon" w:cs="Arial"/>
          <w:b/>
          <w:bCs/>
          <w:color w:val="002060"/>
        </w:rPr>
      </w:pPr>
    </w:p>
    <w:p w14:paraId="7AEE6256" w14:textId="77777777" w:rsidR="003A0796" w:rsidRPr="008757EA" w:rsidRDefault="003A0796" w:rsidP="00DF35FA">
      <w:pPr>
        <w:pStyle w:val="T2modleAGAMA"/>
        <w:rPr>
          <w:rFonts w:ascii="Avalon" w:hAnsi="Avalon"/>
        </w:rPr>
      </w:pPr>
      <w:bookmarkStart w:id="12" w:name="_Toc105689514"/>
      <w:r w:rsidRPr="008757EA">
        <w:rPr>
          <w:rFonts w:ascii="Avalon" w:hAnsi="Avalon"/>
        </w:rPr>
        <w:t>Article D. 533-16-1, III, 1°, e – Adhésion de l’entité ou de certains produits financiers à une charte, un code, une initiative ou obtention d’un label sur la prise en compte de critères ESG, et description sommaire de ceux-ci</w:t>
      </w:r>
      <w:bookmarkEnd w:id="12"/>
    </w:p>
    <w:p w14:paraId="1FB3C752" w14:textId="4C54BD5A" w:rsidR="003A0796" w:rsidRPr="008757EA" w:rsidRDefault="003A0796" w:rsidP="003A0796">
      <w:pPr>
        <w:jc w:val="both"/>
        <w:rPr>
          <w:rFonts w:ascii="Avalon" w:hAnsi="Avalon"/>
        </w:rPr>
      </w:pPr>
    </w:p>
    <w:p w14:paraId="69F0F7BD" w14:textId="5B99E759" w:rsidR="00145DA7" w:rsidRPr="008757EA" w:rsidRDefault="00145DA7" w:rsidP="003A0796">
      <w:pPr>
        <w:jc w:val="both"/>
        <w:rPr>
          <w:rFonts w:ascii="Avalon" w:hAnsi="Avalon"/>
          <w:sz w:val="22"/>
          <w:szCs w:val="22"/>
        </w:rPr>
      </w:pPr>
      <w:r w:rsidRPr="008757EA">
        <w:rPr>
          <w:rFonts w:ascii="Avalon" w:hAnsi="Avalon"/>
          <w:sz w:val="22"/>
          <w:szCs w:val="22"/>
        </w:rPr>
        <w:t>La société de gestion adhère à plusieurs chartes et initiatives :</w:t>
      </w:r>
    </w:p>
    <w:p w14:paraId="3A4D1B3F" w14:textId="76FF2F72" w:rsidR="00145DA7" w:rsidRPr="008757EA" w:rsidRDefault="00145DA7" w:rsidP="00145DA7">
      <w:pPr>
        <w:pStyle w:val="Paragraphedeliste"/>
        <w:numPr>
          <w:ilvl w:val="0"/>
          <w:numId w:val="5"/>
        </w:numPr>
        <w:jc w:val="both"/>
        <w:rPr>
          <w:rFonts w:ascii="Avalon" w:hAnsi="Avalon"/>
          <w:sz w:val="22"/>
          <w:szCs w:val="22"/>
        </w:rPr>
      </w:pPr>
      <w:r w:rsidRPr="008757EA">
        <w:rPr>
          <w:rFonts w:ascii="Avalon" w:hAnsi="Avalon"/>
          <w:sz w:val="22"/>
          <w:szCs w:val="22"/>
        </w:rPr>
        <w:lastRenderedPageBreak/>
        <w:t>Pour la mixité : Charte France Invest</w:t>
      </w:r>
      <w:r w:rsidR="007F7CA6" w:rsidRPr="008757EA">
        <w:rPr>
          <w:rFonts w:ascii="Avalon" w:hAnsi="Avalon"/>
          <w:sz w:val="22"/>
          <w:szCs w:val="22"/>
        </w:rPr>
        <w:t xml:space="preserve"> pour la mixité (Association professionnelle des investisseurs pour la croissance)</w:t>
      </w:r>
      <w:r w:rsidRPr="008757EA">
        <w:rPr>
          <w:rFonts w:ascii="Avalon" w:hAnsi="Avalon"/>
          <w:sz w:val="22"/>
          <w:szCs w:val="22"/>
        </w:rPr>
        <w:t xml:space="preserve">, </w:t>
      </w:r>
      <w:proofErr w:type="spellStart"/>
      <w:r w:rsidRPr="008757EA">
        <w:rPr>
          <w:rFonts w:ascii="Avalon" w:hAnsi="Avalon"/>
          <w:sz w:val="22"/>
          <w:szCs w:val="22"/>
        </w:rPr>
        <w:t>Sista</w:t>
      </w:r>
      <w:proofErr w:type="spellEnd"/>
      <w:r w:rsidR="007F7CA6" w:rsidRPr="008757EA">
        <w:rPr>
          <w:rFonts w:ascii="Avalon" w:hAnsi="Avalon"/>
          <w:sz w:val="22"/>
          <w:szCs w:val="22"/>
        </w:rPr>
        <w:t xml:space="preserve"> (Collectif qui réduit les inégalités de financement entre les femmes et les hommes entrepreneurs)</w:t>
      </w:r>
    </w:p>
    <w:p w14:paraId="7DC9AFFF" w14:textId="6F597344" w:rsidR="00145DA7" w:rsidRPr="008757EA" w:rsidRDefault="00145DA7" w:rsidP="00145DA7">
      <w:pPr>
        <w:pStyle w:val="Paragraphedeliste"/>
        <w:numPr>
          <w:ilvl w:val="0"/>
          <w:numId w:val="5"/>
        </w:numPr>
        <w:jc w:val="both"/>
        <w:rPr>
          <w:rFonts w:ascii="Avalon" w:hAnsi="Avalon"/>
          <w:sz w:val="22"/>
          <w:szCs w:val="22"/>
        </w:rPr>
      </w:pPr>
      <w:r w:rsidRPr="008757EA">
        <w:rPr>
          <w:rFonts w:ascii="Avalon" w:hAnsi="Avalon"/>
          <w:sz w:val="22"/>
          <w:szCs w:val="22"/>
        </w:rPr>
        <w:t>Pour la décarbonation : Initiative Climat International</w:t>
      </w:r>
      <w:r w:rsidR="007F7CA6" w:rsidRPr="008757EA">
        <w:rPr>
          <w:rFonts w:ascii="Avalon" w:hAnsi="Avalon"/>
          <w:sz w:val="22"/>
          <w:szCs w:val="22"/>
        </w:rPr>
        <w:t xml:space="preserve"> (Collectif d’acteurs du capital </w:t>
      </w:r>
      <w:proofErr w:type="gramStart"/>
      <w:r w:rsidR="007F7CA6" w:rsidRPr="008757EA">
        <w:rPr>
          <w:rFonts w:ascii="Avalon" w:hAnsi="Avalon"/>
          <w:sz w:val="22"/>
          <w:szCs w:val="22"/>
        </w:rPr>
        <w:t>investissement engagés</w:t>
      </w:r>
      <w:proofErr w:type="gramEnd"/>
      <w:r w:rsidR="007F7CA6" w:rsidRPr="008757EA">
        <w:rPr>
          <w:rFonts w:ascii="Avalon" w:hAnsi="Avalon"/>
          <w:sz w:val="22"/>
          <w:szCs w:val="22"/>
        </w:rPr>
        <w:t xml:space="preserve"> sur les enjeux climatiques)</w:t>
      </w:r>
      <w:r w:rsidRPr="008757EA">
        <w:rPr>
          <w:rFonts w:ascii="Avalon" w:hAnsi="Avalon"/>
          <w:sz w:val="22"/>
          <w:szCs w:val="22"/>
        </w:rPr>
        <w:t xml:space="preserve">, </w:t>
      </w:r>
      <w:proofErr w:type="spellStart"/>
      <w:r w:rsidRPr="008757EA">
        <w:rPr>
          <w:rFonts w:ascii="Avalon" w:hAnsi="Avalon"/>
          <w:sz w:val="22"/>
          <w:szCs w:val="22"/>
        </w:rPr>
        <w:t>Climate</w:t>
      </w:r>
      <w:proofErr w:type="spellEnd"/>
      <w:r w:rsidRPr="008757EA">
        <w:rPr>
          <w:rFonts w:ascii="Avalon" w:hAnsi="Avalon"/>
          <w:sz w:val="22"/>
          <w:szCs w:val="22"/>
        </w:rPr>
        <w:t xml:space="preserve"> </w:t>
      </w:r>
      <w:proofErr w:type="spellStart"/>
      <w:r w:rsidRPr="008757EA">
        <w:rPr>
          <w:rFonts w:ascii="Avalon" w:hAnsi="Avalon"/>
          <w:sz w:val="22"/>
          <w:szCs w:val="22"/>
        </w:rPr>
        <w:t>Act</w:t>
      </w:r>
      <w:proofErr w:type="spellEnd"/>
      <w:r w:rsidR="00D95AC6" w:rsidRPr="008757EA">
        <w:rPr>
          <w:rFonts w:ascii="Avalon" w:hAnsi="Avalon"/>
          <w:sz w:val="22"/>
          <w:szCs w:val="22"/>
        </w:rPr>
        <w:t xml:space="preserve"> (Collectif qui s’engage concrètement pour le climat)</w:t>
      </w:r>
      <w:r w:rsidR="007F7CA6" w:rsidRPr="008757EA">
        <w:rPr>
          <w:rFonts w:ascii="Avalon" w:hAnsi="Avalon"/>
          <w:sz w:val="22"/>
          <w:szCs w:val="22"/>
        </w:rPr>
        <w:t xml:space="preserve">, Leader for </w:t>
      </w:r>
      <w:proofErr w:type="spellStart"/>
      <w:r w:rsidR="007F7CA6" w:rsidRPr="008757EA">
        <w:rPr>
          <w:rFonts w:ascii="Avalon" w:hAnsi="Avalon"/>
          <w:sz w:val="22"/>
          <w:szCs w:val="22"/>
        </w:rPr>
        <w:t>Climate</w:t>
      </w:r>
      <w:proofErr w:type="spellEnd"/>
      <w:r w:rsidR="007F7CA6" w:rsidRPr="008757EA">
        <w:rPr>
          <w:rFonts w:ascii="Avalon" w:hAnsi="Avalon"/>
          <w:sz w:val="22"/>
          <w:szCs w:val="22"/>
        </w:rPr>
        <w:t xml:space="preserve"> Action (Communauté d’entrepreneurs pour l’action climatique).</w:t>
      </w:r>
      <w:r w:rsidRPr="008757EA">
        <w:rPr>
          <w:rFonts w:ascii="Avalon" w:hAnsi="Avalon"/>
          <w:sz w:val="22"/>
          <w:szCs w:val="22"/>
        </w:rPr>
        <w:t xml:space="preserve"> </w:t>
      </w:r>
    </w:p>
    <w:p w14:paraId="55A7F79B" w14:textId="50E89BB0" w:rsidR="00D95AC6" w:rsidRPr="008757EA" w:rsidRDefault="00D95AC6" w:rsidP="00D95AC6">
      <w:pPr>
        <w:jc w:val="both"/>
        <w:rPr>
          <w:rFonts w:ascii="Avalon" w:hAnsi="Avalon"/>
          <w:sz w:val="22"/>
          <w:szCs w:val="22"/>
        </w:rPr>
      </w:pPr>
      <w:r w:rsidRPr="008757EA">
        <w:rPr>
          <w:rFonts w:ascii="Avalon" w:hAnsi="Avalon"/>
          <w:sz w:val="22"/>
          <w:szCs w:val="22"/>
        </w:rPr>
        <w:t>Par ailleurs, la société participe régulièrement à des groupes de travail sur les enjeux ESG (France Digitale notamment).</w:t>
      </w:r>
    </w:p>
    <w:p w14:paraId="10AC8763" w14:textId="77777777" w:rsidR="005648ED" w:rsidRPr="008757EA" w:rsidRDefault="005648ED" w:rsidP="003A0796">
      <w:pPr>
        <w:jc w:val="both"/>
        <w:rPr>
          <w:rFonts w:ascii="Avalon" w:hAnsi="Avalon" w:cs="Arial"/>
          <w:sz w:val="20"/>
          <w:szCs w:val="20"/>
        </w:rPr>
      </w:pPr>
    </w:p>
    <w:p w14:paraId="4EF25E5E" w14:textId="139B5E0F" w:rsidR="003A0796" w:rsidRPr="008757EA" w:rsidRDefault="003A0796" w:rsidP="002C1232">
      <w:pPr>
        <w:pStyle w:val="Titre1"/>
        <w:jc w:val="both"/>
        <w:rPr>
          <w:rFonts w:ascii="Avalon" w:hAnsi="Avalon" w:cs="Times New Roman"/>
        </w:rPr>
      </w:pPr>
      <w:bookmarkStart w:id="13" w:name="_Toc105689515"/>
      <w:r w:rsidRPr="008757EA">
        <w:rPr>
          <w:rFonts w:ascii="Avalon" w:hAnsi="Avalon" w:cs="Times New Roman"/>
        </w:rPr>
        <w:t>5. Article D. 533-16-1, III, 2° - Informations relatives aux ressources internes déployées par l’entité</w:t>
      </w:r>
      <w:bookmarkEnd w:id="13"/>
    </w:p>
    <w:p w14:paraId="487926A8" w14:textId="77777777" w:rsidR="002C1232" w:rsidRPr="008757EA" w:rsidRDefault="002C1232" w:rsidP="002C1232">
      <w:pPr>
        <w:jc w:val="both"/>
        <w:rPr>
          <w:rFonts w:ascii="Avalon" w:hAnsi="Avalon" w:cs="Arial"/>
          <w:b/>
          <w:bCs/>
          <w:color w:val="002060"/>
        </w:rPr>
      </w:pPr>
    </w:p>
    <w:p w14:paraId="431B2439" w14:textId="6CD24669" w:rsidR="003A0796" w:rsidRPr="008757EA" w:rsidRDefault="003A0796" w:rsidP="001C0F0F">
      <w:pPr>
        <w:pStyle w:val="T2modleAGAMA"/>
        <w:numPr>
          <w:ilvl w:val="0"/>
          <w:numId w:val="12"/>
        </w:numPr>
        <w:rPr>
          <w:rFonts w:ascii="Avalon" w:hAnsi="Avalon"/>
        </w:rPr>
      </w:pPr>
      <w:bookmarkStart w:id="14" w:name="_Toc105689516"/>
      <w:r w:rsidRPr="008757EA">
        <w:rPr>
          <w:rFonts w:ascii="Avalon" w:hAnsi="Avalon"/>
        </w:rPr>
        <w:t xml:space="preserve">Article D. 533-16-1, III, 2°, a – Description des ressources financières, humaines et techniques dédiées à la stratégie ESG de </w:t>
      </w:r>
      <w:r w:rsidR="002C1232" w:rsidRPr="008757EA">
        <w:rPr>
          <w:rFonts w:ascii="Avalon" w:hAnsi="Avalon"/>
        </w:rPr>
        <w:t>la société de gestion</w:t>
      </w:r>
      <w:bookmarkEnd w:id="14"/>
    </w:p>
    <w:p w14:paraId="2A5C89C8" w14:textId="77777777" w:rsidR="002C1232" w:rsidRPr="008757EA" w:rsidRDefault="002C1232" w:rsidP="00DF35FA">
      <w:pPr>
        <w:pStyle w:val="T2modleAGAMA"/>
        <w:numPr>
          <w:ilvl w:val="0"/>
          <w:numId w:val="0"/>
        </w:numPr>
        <w:rPr>
          <w:rFonts w:ascii="Avalon" w:hAnsi="Avalon"/>
        </w:rPr>
      </w:pPr>
    </w:p>
    <w:p w14:paraId="0BCF3198" w14:textId="22A73C79" w:rsidR="003A0796" w:rsidRPr="008757EA" w:rsidRDefault="00D95AC6" w:rsidP="002C1232">
      <w:pPr>
        <w:jc w:val="both"/>
        <w:rPr>
          <w:rFonts w:ascii="Avalon" w:hAnsi="Avalon" w:cs="Arial"/>
          <w:color w:val="141414"/>
          <w:sz w:val="22"/>
          <w:szCs w:val="22"/>
        </w:rPr>
      </w:pPr>
      <w:r w:rsidRPr="008757EA">
        <w:rPr>
          <w:rFonts w:ascii="Avalon" w:hAnsi="Avalon" w:cs="Arial"/>
          <w:color w:val="141414"/>
          <w:sz w:val="22"/>
          <w:szCs w:val="22"/>
        </w:rPr>
        <w:t>A ce jour, une personne au sein de la société de gestion est dédiée à la stratégie ESG.</w:t>
      </w:r>
    </w:p>
    <w:p w14:paraId="26AE5110" w14:textId="77777777" w:rsidR="003A0796" w:rsidRPr="008757EA" w:rsidRDefault="003A0796" w:rsidP="002C1232">
      <w:pPr>
        <w:jc w:val="both"/>
        <w:rPr>
          <w:rFonts w:ascii="Avalon" w:hAnsi="Avalon" w:cs="Arial"/>
          <w:color w:val="141414"/>
        </w:rPr>
      </w:pPr>
    </w:p>
    <w:p w14:paraId="0868992D" w14:textId="174E960D" w:rsidR="003A0796" w:rsidRPr="008757EA" w:rsidRDefault="003A0796" w:rsidP="001C0F0F">
      <w:pPr>
        <w:pStyle w:val="T2modleAGAMA"/>
        <w:numPr>
          <w:ilvl w:val="0"/>
          <w:numId w:val="12"/>
        </w:numPr>
        <w:rPr>
          <w:rFonts w:ascii="Avalon" w:hAnsi="Avalon"/>
        </w:rPr>
      </w:pPr>
      <w:bookmarkStart w:id="15" w:name="_Toc105689517"/>
      <w:r w:rsidRPr="008757EA">
        <w:rPr>
          <w:rFonts w:ascii="Avalon" w:hAnsi="Avalon"/>
        </w:rPr>
        <w:t xml:space="preserve">Article D. 533-16-1, III, 2°, b – Actions menées en vue d’un renforcement des capacités internes de </w:t>
      </w:r>
      <w:r w:rsidR="00B9329B" w:rsidRPr="008757EA">
        <w:rPr>
          <w:rFonts w:ascii="Avalon" w:hAnsi="Avalon"/>
        </w:rPr>
        <w:t>la société de gestion</w:t>
      </w:r>
      <w:bookmarkEnd w:id="15"/>
    </w:p>
    <w:p w14:paraId="7FE48C08" w14:textId="77777777" w:rsidR="00B9329B" w:rsidRPr="008757EA" w:rsidRDefault="00B9329B" w:rsidP="002C1232">
      <w:pPr>
        <w:jc w:val="both"/>
        <w:rPr>
          <w:rFonts w:ascii="Avalon" w:hAnsi="Avalon" w:cs="Arial"/>
          <w:color w:val="141414"/>
        </w:rPr>
      </w:pPr>
    </w:p>
    <w:p w14:paraId="2FC8F5F7" w14:textId="14C1819D" w:rsidR="003A0796" w:rsidRPr="008757EA" w:rsidRDefault="00D95AC6" w:rsidP="002C1232">
      <w:pPr>
        <w:jc w:val="both"/>
        <w:rPr>
          <w:rFonts w:ascii="Avalon" w:hAnsi="Avalon" w:cs="Arial"/>
          <w:color w:val="141414"/>
          <w:sz w:val="22"/>
          <w:szCs w:val="22"/>
        </w:rPr>
      </w:pPr>
      <w:r w:rsidRPr="008757EA">
        <w:rPr>
          <w:rFonts w:ascii="Avalon" w:hAnsi="Avalon" w:cs="Arial"/>
          <w:color w:val="141414"/>
          <w:sz w:val="22"/>
          <w:szCs w:val="22"/>
        </w:rPr>
        <w:t>L’équipe de gestion est régulièrement formée et sensibilisée aux différents critères ESG.</w:t>
      </w:r>
    </w:p>
    <w:p w14:paraId="4B90DB6C" w14:textId="77777777" w:rsidR="003A0796" w:rsidRPr="008757EA" w:rsidRDefault="003A0796" w:rsidP="002C1232">
      <w:pPr>
        <w:jc w:val="both"/>
        <w:rPr>
          <w:rFonts w:ascii="Avalon" w:hAnsi="Avalon" w:cs="Arial"/>
          <w:color w:val="141414"/>
        </w:rPr>
      </w:pPr>
    </w:p>
    <w:p w14:paraId="0F3E9E25" w14:textId="1E7A071F" w:rsidR="003A0796" w:rsidRPr="008757EA" w:rsidRDefault="003A0796" w:rsidP="002C1232">
      <w:pPr>
        <w:pStyle w:val="Titre1"/>
        <w:jc w:val="both"/>
        <w:rPr>
          <w:rFonts w:ascii="Avalon" w:hAnsi="Avalon" w:cs="Times New Roman"/>
        </w:rPr>
      </w:pPr>
      <w:bookmarkStart w:id="16" w:name="_Toc105689518"/>
      <w:r w:rsidRPr="008757EA">
        <w:rPr>
          <w:rFonts w:ascii="Avalon" w:hAnsi="Avalon" w:cs="Times New Roman"/>
        </w:rPr>
        <w:t>6. Article D. 533-16-1, III, 3° - Informations relatives à la démarche de prise en compte des critères ESG au niveau de la gouvernance de l’entité</w:t>
      </w:r>
      <w:bookmarkEnd w:id="16"/>
    </w:p>
    <w:p w14:paraId="3F8C2A9F" w14:textId="77777777" w:rsidR="00B9329B" w:rsidRPr="008757EA" w:rsidRDefault="00B9329B" w:rsidP="002C1232">
      <w:pPr>
        <w:jc w:val="both"/>
        <w:rPr>
          <w:rFonts w:ascii="Avalon" w:hAnsi="Avalon" w:cs="Arial"/>
          <w:b/>
          <w:bCs/>
          <w:color w:val="002060"/>
        </w:rPr>
      </w:pPr>
    </w:p>
    <w:p w14:paraId="7045B819" w14:textId="2B60E70A" w:rsidR="003A0796" w:rsidRPr="008757EA" w:rsidRDefault="003A0796" w:rsidP="001C0F0F">
      <w:pPr>
        <w:pStyle w:val="T2modleAGAMA"/>
        <w:numPr>
          <w:ilvl w:val="0"/>
          <w:numId w:val="13"/>
        </w:numPr>
        <w:rPr>
          <w:rFonts w:ascii="Avalon" w:hAnsi="Avalon"/>
        </w:rPr>
      </w:pPr>
      <w:bookmarkStart w:id="17" w:name="_Toc105689519"/>
      <w:r w:rsidRPr="008757EA">
        <w:rPr>
          <w:rFonts w:ascii="Avalon" w:hAnsi="Avalon"/>
        </w:rPr>
        <w:t>Article D. 533-16-1, III, 3°, a – Connaissances, compétences et expérience des instances de gouvernance en matière de prise de décision relatives à l’intégration des critères ESG dans la politique et la stratégie d’investissement</w:t>
      </w:r>
      <w:bookmarkEnd w:id="17"/>
    </w:p>
    <w:p w14:paraId="501D2A89" w14:textId="77777777" w:rsidR="002E39B6" w:rsidRPr="008757EA" w:rsidRDefault="002E39B6" w:rsidP="002C1232">
      <w:pPr>
        <w:jc w:val="both"/>
        <w:rPr>
          <w:rFonts w:ascii="Avalon" w:hAnsi="Avalon" w:cs="Arial"/>
          <w:color w:val="141414"/>
        </w:rPr>
      </w:pPr>
    </w:p>
    <w:p w14:paraId="433E1E27" w14:textId="77777777" w:rsidR="00D95AC6" w:rsidRPr="008757EA" w:rsidRDefault="00D95AC6" w:rsidP="00D95AC6">
      <w:pPr>
        <w:jc w:val="both"/>
        <w:rPr>
          <w:rFonts w:ascii="Avalon" w:hAnsi="Avalon" w:cs="Arial"/>
          <w:color w:val="141414"/>
          <w:sz w:val="22"/>
          <w:szCs w:val="22"/>
        </w:rPr>
      </w:pPr>
      <w:r w:rsidRPr="008757EA">
        <w:rPr>
          <w:rFonts w:ascii="Avalon" w:hAnsi="Avalon" w:cs="Arial"/>
          <w:color w:val="141414"/>
          <w:sz w:val="22"/>
          <w:szCs w:val="22"/>
        </w:rPr>
        <w:t>L’équipe de gestion est régulièrement formée et sensibilisée aux différents critères ESG.</w:t>
      </w:r>
    </w:p>
    <w:p w14:paraId="0F25836E" w14:textId="77777777" w:rsidR="005648ED" w:rsidRPr="008757EA" w:rsidRDefault="005648ED" w:rsidP="002C1232">
      <w:pPr>
        <w:jc w:val="both"/>
        <w:rPr>
          <w:rFonts w:ascii="Avalon" w:hAnsi="Avalon" w:cs="Arial"/>
        </w:rPr>
      </w:pPr>
    </w:p>
    <w:p w14:paraId="35AA62E5" w14:textId="77777777" w:rsidR="003A0796" w:rsidRPr="008757EA" w:rsidRDefault="003A0796" w:rsidP="001C0F0F">
      <w:pPr>
        <w:pStyle w:val="T2modleAGAMA"/>
        <w:numPr>
          <w:ilvl w:val="0"/>
          <w:numId w:val="13"/>
        </w:numPr>
        <w:rPr>
          <w:rFonts w:ascii="Avalon" w:hAnsi="Avalon"/>
        </w:rPr>
      </w:pPr>
      <w:bookmarkStart w:id="18" w:name="_Toc105689520"/>
      <w:r w:rsidRPr="008757EA">
        <w:rPr>
          <w:rFonts w:ascii="Avalon" w:hAnsi="Avalon"/>
        </w:rPr>
        <w:t>Article D. 533-16-1, III, 3°, b – Inclusion dans les politiques de rémunération des informations sur la manière dont ces politiques sont adaptées à l’intégration des risques en matière de durabilité</w:t>
      </w:r>
      <w:bookmarkEnd w:id="18"/>
    </w:p>
    <w:p w14:paraId="690A1F2A" w14:textId="77777777" w:rsidR="002E39B6" w:rsidRPr="008757EA" w:rsidRDefault="002E39B6" w:rsidP="002C1232">
      <w:pPr>
        <w:jc w:val="both"/>
        <w:rPr>
          <w:rFonts w:ascii="Avalon" w:hAnsi="Avalon" w:cs="Arial"/>
        </w:rPr>
      </w:pPr>
    </w:p>
    <w:p w14:paraId="39C5BCD9" w14:textId="6EF3B829" w:rsidR="005648ED" w:rsidRPr="008757EA" w:rsidRDefault="00D95AC6" w:rsidP="005648ED">
      <w:pPr>
        <w:jc w:val="both"/>
        <w:rPr>
          <w:rFonts w:ascii="Avalon" w:hAnsi="Avalon"/>
          <w:sz w:val="22"/>
          <w:szCs w:val="22"/>
        </w:rPr>
      </w:pPr>
      <w:r w:rsidRPr="008757EA">
        <w:rPr>
          <w:rFonts w:ascii="Avalon" w:hAnsi="Avalon"/>
          <w:sz w:val="22"/>
          <w:szCs w:val="22"/>
        </w:rPr>
        <w:t>A ce jour, il n’y a pas de prise en compte des critères ESG dans la politique de rémunération.</w:t>
      </w:r>
    </w:p>
    <w:p w14:paraId="70012961" w14:textId="77777777" w:rsidR="003A0796" w:rsidRPr="008757EA" w:rsidRDefault="003A0796" w:rsidP="002C1232">
      <w:pPr>
        <w:jc w:val="both"/>
        <w:rPr>
          <w:rFonts w:ascii="Avalon" w:hAnsi="Avalon" w:cs="Arial"/>
        </w:rPr>
      </w:pPr>
    </w:p>
    <w:p w14:paraId="779D5244" w14:textId="77777777" w:rsidR="003A0796" w:rsidRPr="008757EA" w:rsidRDefault="003A0796" w:rsidP="001C0F0F">
      <w:pPr>
        <w:pStyle w:val="T2modleAGAMA"/>
        <w:numPr>
          <w:ilvl w:val="0"/>
          <w:numId w:val="13"/>
        </w:numPr>
        <w:rPr>
          <w:rFonts w:ascii="Avalon" w:hAnsi="Avalon"/>
        </w:rPr>
      </w:pPr>
      <w:bookmarkStart w:id="19" w:name="_Toc105689521"/>
      <w:r w:rsidRPr="008757EA">
        <w:rPr>
          <w:rFonts w:ascii="Avalon" w:hAnsi="Avalon"/>
        </w:rPr>
        <w:t>Article D. 533-16-1, III, 3°, c – Intégration des critères ESG dans le règlement interne du conseil d’administration et de surveillance de l’entité</w:t>
      </w:r>
      <w:bookmarkEnd w:id="19"/>
      <w:r w:rsidRPr="008757EA">
        <w:rPr>
          <w:rFonts w:ascii="Avalon" w:hAnsi="Avalon"/>
        </w:rPr>
        <w:t xml:space="preserve"> </w:t>
      </w:r>
    </w:p>
    <w:p w14:paraId="5CE506E8" w14:textId="77777777" w:rsidR="002E39B6" w:rsidRPr="008757EA" w:rsidRDefault="002E39B6" w:rsidP="002C1232">
      <w:pPr>
        <w:jc w:val="both"/>
        <w:rPr>
          <w:rFonts w:ascii="Avalon" w:hAnsi="Avalon" w:cs="Arial"/>
        </w:rPr>
      </w:pPr>
    </w:p>
    <w:p w14:paraId="1EE009A8" w14:textId="0954DF2D" w:rsidR="003A0796" w:rsidRPr="008757EA" w:rsidRDefault="00281A7A" w:rsidP="003A0796">
      <w:pPr>
        <w:jc w:val="both"/>
        <w:rPr>
          <w:rFonts w:ascii="Avalon" w:hAnsi="Avalon"/>
          <w:sz w:val="22"/>
          <w:szCs w:val="22"/>
        </w:rPr>
      </w:pPr>
      <w:r w:rsidRPr="008757EA">
        <w:rPr>
          <w:rFonts w:ascii="Avalon" w:hAnsi="Avalon"/>
          <w:sz w:val="22"/>
          <w:szCs w:val="22"/>
        </w:rPr>
        <w:t>A ce jour, il n’y a pas de prise en compte des critères ESG dans le règlement interne du conseil d’administration de la société de gestion.</w:t>
      </w:r>
    </w:p>
    <w:p w14:paraId="7DD93D54" w14:textId="3F8B976B" w:rsidR="00281A7A" w:rsidRPr="008757EA" w:rsidRDefault="00281A7A" w:rsidP="003A0796">
      <w:pPr>
        <w:jc w:val="both"/>
        <w:rPr>
          <w:rFonts w:ascii="Avalon" w:hAnsi="Avalon"/>
        </w:rPr>
      </w:pPr>
    </w:p>
    <w:p w14:paraId="693CB983" w14:textId="77777777" w:rsidR="00281A7A" w:rsidRPr="008757EA" w:rsidRDefault="00281A7A" w:rsidP="003A0796">
      <w:pPr>
        <w:jc w:val="both"/>
        <w:rPr>
          <w:rFonts w:ascii="Avalon" w:hAnsi="Avalon" w:cs="Arial"/>
        </w:rPr>
      </w:pPr>
    </w:p>
    <w:p w14:paraId="13DF2955" w14:textId="7CF65CE4" w:rsidR="003A0796" w:rsidRPr="008757EA" w:rsidRDefault="003A0796" w:rsidP="003A0796">
      <w:pPr>
        <w:pStyle w:val="Titre1"/>
        <w:jc w:val="both"/>
        <w:rPr>
          <w:rFonts w:ascii="Avalon" w:hAnsi="Avalon" w:cs="Times New Roman"/>
        </w:rPr>
      </w:pPr>
      <w:bookmarkStart w:id="20" w:name="_Toc105689522"/>
      <w:r w:rsidRPr="008757EA">
        <w:rPr>
          <w:rFonts w:ascii="Avalon" w:hAnsi="Avalon" w:cs="Times New Roman"/>
        </w:rPr>
        <w:t>7. Article D. 533-16-1, III, 4° - Informations sur la stratégie d’engagement auprès des émetteurs ou vis-à-vis des sociétés de gestion</w:t>
      </w:r>
      <w:bookmarkEnd w:id="20"/>
    </w:p>
    <w:p w14:paraId="0D030813" w14:textId="77777777" w:rsidR="002E39B6" w:rsidRPr="008757EA" w:rsidRDefault="002E39B6" w:rsidP="003A0796">
      <w:pPr>
        <w:jc w:val="both"/>
        <w:rPr>
          <w:rFonts w:ascii="Avalon" w:hAnsi="Avalon" w:cs="Arial"/>
          <w:b/>
          <w:bCs/>
          <w:color w:val="002060"/>
        </w:rPr>
      </w:pPr>
    </w:p>
    <w:p w14:paraId="7341574D" w14:textId="655D773C" w:rsidR="003A0796" w:rsidRPr="008757EA" w:rsidRDefault="003A0796" w:rsidP="001C0F0F">
      <w:pPr>
        <w:pStyle w:val="T2modleAGAMA"/>
        <w:numPr>
          <w:ilvl w:val="0"/>
          <w:numId w:val="15"/>
        </w:numPr>
        <w:rPr>
          <w:rFonts w:ascii="Avalon" w:hAnsi="Avalon"/>
        </w:rPr>
      </w:pPr>
      <w:bookmarkStart w:id="21" w:name="_Toc105689523"/>
      <w:r w:rsidRPr="008757EA">
        <w:rPr>
          <w:rFonts w:ascii="Avalon" w:hAnsi="Avalon"/>
        </w:rPr>
        <w:lastRenderedPageBreak/>
        <w:t>Article D. 533-16-1, III, 4°, a – Périmètre des entreprises concernées par la stratégie d’engagement</w:t>
      </w:r>
      <w:bookmarkEnd w:id="21"/>
      <w:r w:rsidRPr="008757EA">
        <w:rPr>
          <w:rFonts w:ascii="Avalon" w:hAnsi="Avalon"/>
        </w:rPr>
        <w:t xml:space="preserve"> </w:t>
      </w:r>
    </w:p>
    <w:p w14:paraId="3F20512E" w14:textId="77777777" w:rsidR="002E39B6" w:rsidRPr="008757EA" w:rsidRDefault="002E39B6" w:rsidP="003A0796">
      <w:pPr>
        <w:jc w:val="both"/>
        <w:rPr>
          <w:rFonts w:ascii="Avalon" w:hAnsi="Avalon" w:cs="Arial"/>
        </w:rPr>
      </w:pPr>
    </w:p>
    <w:p w14:paraId="5157C907" w14:textId="38B9EFCF" w:rsidR="005648ED" w:rsidRPr="008757EA" w:rsidRDefault="00281A7A" w:rsidP="005648ED">
      <w:pPr>
        <w:jc w:val="both"/>
        <w:rPr>
          <w:rFonts w:ascii="Avalon" w:hAnsi="Avalon"/>
          <w:sz w:val="22"/>
          <w:szCs w:val="22"/>
        </w:rPr>
      </w:pPr>
      <w:r w:rsidRPr="008757EA">
        <w:rPr>
          <w:rFonts w:ascii="Avalon" w:hAnsi="Avalon"/>
          <w:sz w:val="22"/>
          <w:szCs w:val="22"/>
        </w:rPr>
        <w:t>A ce jour, la totalité des entreprises détenues en portefeuille sont concernées par l’analyse quantitative et qualitative des critères ESG. Un focus et un accompagnement particulier est fait pour les sociétés présente</w:t>
      </w:r>
      <w:r w:rsidR="00BA4D03" w:rsidRPr="008757EA">
        <w:rPr>
          <w:rFonts w:ascii="Avalon" w:hAnsi="Avalon"/>
          <w:sz w:val="22"/>
          <w:szCs w:val="22"/>
        </w:rPr>
        <w:t>s</w:t>
      </w:r>
      <w:r w:rsidRPr="008757EA">
        <w:rPr>
          <w:rFonts w:ascii="Avalon" w:hAnsi="Avalon"/>
          <w:sz w:val="22"/>
          <w:szCs w:val="22"/>
        </w:rPr>
        <w:t xml:space="preserve"> dans le dernier fonds levé en cours d’investissement.</w:t>
      </w:r>
    </w:p>
    <w:p w14:paraId="3930817B" w14:textId="77777777" w:rsidR="003A0796" w:rsidRPr="008757EA" w:rsidRDefault="003A0796" w:rsidP="003A0796">
      <w:pPr>
        <w:jc w:val="both"/>
        <w:rPr>
          <w:rFonts w:ascii="Avalon" w:hAnsi="Avalon" w:cs="Arial"/>
        </w:rPr>
      </w:pPr>
    </w:p>
    <w:p w14:paraId="14E423A7" w14:textId="77777777" w:rsidR="003A0796" w:rsidRPr="008757EA" w:rsidRDefault="003A0796" w:rsidP="001C0F0F">
      <w:pPr>
        <w:pStyle w:val="T2modleAGAMA"/>
        <w:numPr>
          <w:ilvl w:val="0"/>
          <w:numId w:val="15"/>
        </w:numPr>
        <w:rPr>
          <w:rFonts w:ascii="Avalon" w:hAnsi="Avalon"/>
        </w:rPr>
      </w:pPr>
      <w:bookmarkStart w:id="22" w:name="_Toc105689524"/>
      <w:r w:rsidRPr="008757EA">
        <w:rPr>
          <w:rFonts w:ascii="Avalon" w:hAnsi="Avalon"/>
        </w:rPr>
        <w:t>Article D. 533-16-1, III, 4°, b et d – Présentation et bilan de la politique de vote</w:t>
      </w:r>
      <w:bookmarkEnd w:id="22"/>
    </w:p>
    <w:p w14:paraId="5602B324" w14:textId="77777777" w:rsidR="00CA4602" w:rsidRPr="008757EA" w:rsidRDefault="00CA4602" w:rsidP="003A0796">
      <w:pPr>
        <w:jc w:val="both"/>
        <w:rPr>
          <w:rFonts w:ascii="Avalon" w:hAnsi="Avalon" w:cs="Arial"/>
        </w:rPr>
      </w:pPr>
    </w:p>
    <w:p w14:paraId="4CC463AF" w14:textId="039390B2" w:rsidR="007F7503" w:rsidRPr="008757EA" w:rsidRDefault="007F7503" w:rsidP="007F7503">
      <w:pPr>
        <w:jc w:val="both"/>
        <w:rPr>
          <w:rFonts w:ascii="Avalon" w:hAnsi="Avalon"/>
          <w:sz w:val="22"/>
          <w:szCs w:val="22"/>
        </w:rPr>
      </w:pPr>
      <w:r w:rsidRPr="008757EA">
        <w:rPr>
          <w:rFonts w:ascii="Avalon" w:hAnsi="Avalon"/>
          <w:sz w:val="22"/>
          <w:szCs w:val="22"/>
        </w:rPr>
        <w:t xml:space="preserve">Les membres de l’équipe d’investissement d’Alven sont proches des sociétés dans lesquelles ils investissent. Ils sont ainsi les plus à même d’instruire et d’analyser les résolutions soumises et de décider des votes </w:t>
      </w:r>
      <w:r w:rsidR="00BA4D03" w:rsidRPr="008757EA">
        <w:rPr>
          <w:rFonts w:ascii="Avalon" w:hAnsi="Avalon"/>
          <w:sz w:val="22"/>
          <w:szCs w:val="22"/>
        </w:rPr>
        <w:t xml:space="preserve">en Assemblées Générales </w:t>
      </w:r>
      <w:r w:rsidRPr="008757EA">
        <w:rPr>
          <w:rFonts w:ascii="Avalon" w:hAnsi="Avalon"/>
          <w:sz w:val="22"/>
          <w:szCs w:val="22"/>
        </w:rPr>
        <w:t xml:space="preserve">qui seront émis. Le suivi direct de chacune des sociétés du portefeuille est attribué à un </w:t>
      </w:r>
      <w:proofErr w:type="spellStart"/>
      <w:r w:rsidRPr="008757EA">
        <w:rPr>
          <w:rFonts w:ascii="Avalon" w:hAnsi="Avalon"/>
          <w:sz w:val="22"/>
          <w:szCs w:val="22"/>
        </w:rPr>
        <w:t>partner</w:t>
      </w:r>
      <w:proofErr w:type="spellEnd"/>
      <w:r w:rsidRPr="008757EA">
        <w:rPr>
          <w:rFonts w:ascii="Avalon" w:hAnsi="Avalon"/>
          <w:sz w:val="22"/>
          <w:szCs w:val="22"/>
        </w:rPr>
        <w:t xml:space="preserve">/principal de la société de gestion. C’est à lui que revient de décider des votes aux assemblées des sociétés dont il a la responsabilité directe. </w:t>
      </w:r>
    </w:p>
    <w:p w14:paraId="09595EF6" w14:textId="449CC228" w:rsidR="007F7503" w:rsidRPr="008757EA" w:rsidRDefault="007F7503" w:rsidP="007F7503">
      <w:pPr>
        <w:jc w:val="both"/>
        <w:rPr>
          <w:rFonts w:ascii="Avalon" w:hAnsi="Avalon"/>
          <w:sz w:val="22"/>
          <w:szCs w:val="22"/>
        </w:rPr>
      </w:pPr>
    </w:p>
    <w:p w14:paraId="168E09F6" w14:textId="77777777" w:rsidR="007F7503" w:rsidRPr="008757EA" w:rsidRDefault="007F7503" w:rsidP="007F7503">
      <w:pPr>
        <w:jc w:val="both"/>
        <w:rPr>
          <w:rFonts w:ascii="Avalon" w:hAnsi="Avalon"/>
          <w:sz w:val="22"/>
          <w:szCs w:val="22"/>
        </w:rPr>
      </w:pPr>
      <w:r w:rsidRPr="008757EA">
        <w:rPr>
          <w:rFonts w:ascii="Avalon" w:hAnsi="Avalon"/>
          <w:sz w:val="22"/>
          <w:szCs w:val="22"/>
        </w:rPr>
        <w:t>Le seul principe qui nous guide dans le vote des résolutions est celui des intérêts à long terme des investisseurs des FPCI dont nous assurons la gestion, et ce donc notamment lors du vote des résolutions afférentes aux points suivants :</w:t>
      </w:r>
    </w:p>
    <w:p w14:paraId="6220DC6F" w14:textId="6E9F86F1" w:rsidR="007F7503" w:rsidRPr="008757EA" w:rsidRDefault="007F7503" w:rsidP="007F7503">
      <w:pPr>
        <w:pStyle w:val="Paragraphedeliste"/>
        <w:numPr>
          <w:ilvl w:val="0"/>
          <w:numId w:val="5"/>
        </w:numPr>
        <w:jc w:val="both"/>
        <w:rPr>
          <w:rFonts w:ascii="Avalon" w:hAnsi="Avalon"/>
          <w:sz w:val="22"/>
          <w:szCs w:val="22"/>
        </w:rPr>
      </w:pPr>
      <w:proofErr w:type="gramStart"/>
      <w:r w:rsidRPr="008757EA">
        <w:rPr>
          <w:rFonts w:ascii="Avalon" w:hAnsi="Avalon"/>
          <w:sz w:val="22"/>
          <w:szCs w:val="22"/>
        </w:rPr>
        <w:t>décisions</w:t>
      </w:r>
      <w:proofErr w:type="gramEnd"/>
      <w:r w:rsidRPr="008757EA">
        <w:rPr>
          <w:rFonts w:ascii="Avalon" w:hAnsi="Avalon"/>
          <w:sz w:val="22"/>
          <w:szCs w:val="22"/>
        </w:rPr>
        <w:t xml:space="preserve"> entraînant une modification des statuts ;</w:t>
      </w:r>
    </w:p>
    <w:p w14:paraId="21B585C3" w14:textId="3C7F4525" w:rsidR="007F7503" w:rsidRPr="008757EA" w:rsidRDefault="007F7503" w:rsidP="007F7503">
      <w:pPr>
        <w:pStyle w:val="Paragraphedeliste"/>
        <w:numPr>
          <w:ilvl w:val="0"/>
          <w:numId w:val="5"/>
        </w:numPr>
        <w:jc w:val="both"/>
        <w:rPr>
          <w:rFonts w:ascii="Avalon" w:hAnsi="Avalon"/>
          <w:sz w:val="22"/>
          <w:szCs w:val="22"/>
        </w:rPr>
      </w:pPr>
      <w:proofErr w:type="gramStart"/>
      <w:r w:rsidRPr="008757EA">
        <w:rPr>
          <w:rFonts w:ascii="Avalon" w:hAnsi="Avalon"/>
          <w:sz w:val="22"/>
          <w:szCs w:val="22"/>
        </w:rPr>
        <w:t>approbation</w:t>
      </w:r>
      <w:proofErr w:type="gramEnd"/>
      <w:r w:rsidRPr="008757EA">
        <w:rPr>
          <w:rFonts w:ascii="Avalon" w:hAnsi="Avalon"/>
          <w:sz w:val="22"/>
          <w:szCs w:val="22"/>
        </w:rPr>
        <w:t xml:space="preserve"> des comptes et affectation du résultat ;</w:t>
      </w:r>
    </w:p>
    <w:p w14:paraId="4BD951D8" w14:textId="16BF4F4B" w:rsidR="007F7503" w:rsidRPr="008757EA" w:rsidRDefault="007F7503" w:rsidP="007F7503">
      <w:pPr>
        <w:pStyle w:val="Paragraphedeliste"/>
        <w:numPr>
          <w:ilvl w:val="0"/>
          <w:numId w:val="5"/>
        </w:numPr>
        <w:jc w:val="both"/>
        <w:rPr>
          <w:rFonts w:ascii="Avalon" w:hAnsi="Avalon"/>
          <w:sz w:val="22"/>
          <w:szCs w:val="22"/>
        </w:rPr>
      </w:pPr>
      <w:proofErr w:type="gramStart"/>
      <w:r w:rsidRPr="008757EA">
        <w:rPr>
          <w:rFonts w:ascii="Avalon" w:hAnsi="Avalon"/>
          <w:sz w:val="22"/>
          <w:szCs w:val="22"/>
        </w:rPr>
        <w:t>nomination</w:t>
      </w:r>
      <w:proofErr w:type="gramEnd"/>
      <w:r w:rsidRPr="008757EA">
        <w:rPr>
          <w:rFonts w:ascii="Avalon" w:hAnsi="Avalon"/>
          <w:sz w:val="22"/>
          <w:szCs w:val="22"/>
        </w:rPr>
        <w:t xml:space="preserve"> et révocation des organes sociaux ;</w:t>
      </w:r>
    </w:p>
    <w:p w14:paraId="6B25BAA9" w14:textId="418FAFDF" w:rsidR="007F7503" w:rsidRPr="008757EA" w:rsidRDefault="007F7503" w:rsidP="007F7503">
      <w:pPr>
        <w:pStyle w:val="Paragraphedeliste"/>
        <w:numPr>
          <w:ilvl w:val="0"/>
          <w:numId w:val="5"/>
        </w:numPr>
        <w:jc w:val="both"/>
        <w:rPr>
          <w:rFonts w:ascii="Avalon" w:hAnsi="Avalon"/>
          <w:sz w:val="22"/>
          <w:szCs w:val="22"/>
        </w:rPr>
      </w:pPr>
      <w:proofErr w:type="gramStart"/>
      <w:r w:rsidRPr="008757EA">
        <w:rPr>
          <w:rFonts w:ascii="Avalon" w:hAnsi="Avalon"/>
          <w:sz w:val="22"/>
          <w:szCs w:val="22"/>
        </w:rPr>
        <w:t>conventions</w:t>
      </w:r>
      <w:proofErr w:type="gramEnd"/>
      <w:r w:rsidRPr="008757EA">
        <w:rPr>
          <w:rFonts w:ascii="Avalon" w:hAnsi="Avalon"/>
          <w:sz w:val="22"/>
          <w:szCs w:val="22"/>
        </w:rPr>
        <w:t xml:space="preserve"> dites règlementées ;</w:t>
      </w:r>
    </w:p>
    <w:p w14:paraId="2176D484" w14:textId="61D4B97F" w:rsidR="007F7503" w:rsidRPr="008757EA" w:rsidRDefault="007F7503" w:rsidP="007F7503">
      <w:pPr>
        <w:pStyle w:val="Paragraphedeliste"/>
        <w:numPr>
          <w:ilvl w:val="0"/>
          <w:numId w:val="5"/>
        </w:numPr>
        <w:jc w:val="both"/>
        <w:rPr>
          <w:rFonts w:ascii="Avalon" w:hAnsi="Avalon"/>
          <w:sz w:val="22"/>
          <w:szCs w:val="22"/>
        </w:rPr>
      </w:pPr>
      <w:proofErr w:type="gramStart"/>
      <w:r w:rsidRPr="008757EA">
        <w:rPr>
          <w:rFonts w:ascii="Avalon" w:hAnsi="Avalon"/>
          <w:sz w:val="22"/>
          <w:szCs w:val="22"/>
        </w:rPr>
        <w:t>programmes</w:t>
      </w:r>
      <w:proofErr w:type="gramEnd"/>
      <w:r w:rsidRPr="008757EA">
        <w:rPr>
          <w:rFonts w:ascii="Avalon" w:hAnsi="Avalon"/>
          <w:sz w:val="22"/>
          <w:szCs w:val="22"/>
        </w:rPr>
        <w:t xml:space="preserve"> d’émission et de rachat de titres de capital ;</w:t>
      </w:r>
    </w:p>
    <w:p w14:paraId="66C38DD0" w14:textId="7D34E411" w:rsidR="007F7503" w:rsidRPr="008757EA" w:rsidRDefault="007F7503" w:rsidP="007F7503">
      <w:pPr>
        <w:pStyle w:val="Paragraphedeliste"/>
        <w:numPr>
          <w:ilvl w:val="0"/>
          <w:numId w:val="5"/>
        </w:numPr>
        <w:jc w:val="both"/>
        <w:rPr>
          <w:rFonts w:ascii="Avalon" w:hAnsi="Avalon"/>
          <w:sz w:val="22"/>
          <w:szCs w:val="22"/>
        </w:rPr>
      </w:pPr>
      <w:proofErr w:type="gramStart"/>
      <w:r w:rsidRPr="008757EA">
        <w:rPr>
          <w:rFonts w:ascii="Avalon" w:hAnsi="Avalon"/>
          <w:sz w:val="22"/>
          <w:szCs w:val="22"/>
        </w:rPr>
        <w:t>désignation</w:t>
      </w:r>
      <w:proofErr w:type="gramEnd"/>
      <w:r w:rsidRPr="008757EA">
        <w:rPr>
          <w:rFonts w:ascii="Avalon" w:hAnsi="Avalon"/>
          <w:sz w:val="22"/>
          <w:szCs w:val="22"/>
        </w:rPr>
        <w:t xml:space="preserve"> des contrôleurs légaux des comptes ;</w:t>
      </w:r>
    </w:p>
    <w:p w14:paraId="772457CD" w14:textId="225400F0" w:rsidR="007F7503" w:rsidRPr="008757EA" w:rsidRDefault="007F7503" w:rsidP="007F7503">
      <w:pPr>
        <w:pStyle w:val="Paragraphedeliste"/>
        <w:numPr>
          <w:ilvl w:val="0"/>
          <w:numId w:val="5"/>
        </w:numPr>
        <w:jc w:val="both"/>
        <w:rPr>
          <w:rFonts w:ascii="Avalon" w:hAnsi="Avalon"/>
          <w:sz w:val="22"/>
          <w:szCs w:val="22"/>
        </w:rPr>
      </w:pPr>
      <w:proofErr w:type="gramStart"/>
      <w:r w:rsidRPr="008757EA">
        <w:rPr>
          <w:rFonts w:ascii="Avalon" w:hAnsi="Avalon"/>
          <w:sz w:val="22"/>
          <w:szCs w:val="22"/>
        </w:rPr>
        <w:t>et</w:t>
      </w:r>
      <w:proofErr w:type="gramEnd"/>
      <w:r w:rsidRPr="008757EA">
        <w:rPr>
          <w:rFonts w:ascii="Avalon" w:hAnsi="Avalon"/>
          <w:sz w:val="22"/>
          <w:szCs w:val="22"/>
        </w:rPr>
        <w:t xml:space="preserve"> tout autre type de résolutions spécifiques que nous pourrions être amené à identifier. </w:t>
      </w:r>
    </w:p>
    <w:p w14:paraId="48493B40" w14:textId="77777777" w:rsidR="007F7503" w:rsidRPr="008757EA" w:rsidRDefault="007F7503" w:rsidP="007F7503">
      <w:pPr>
        <w:jc w:val="both"/>
        <w:rPr>
          <w:rFonts w:ascii="Avalon" w:hAnsi="Avalon"/>
          <w:sz w:val="22"/>
          <w:szCs w:val="22"/>
        </w:rPr>
      </w:pPr>
      <w:r w:rsidRPr="008757EA">
        <w:rPr>
          <w:rFonts w:ascii="Avalon" w:hAnsi="Avalon"/>
          <w:sz w:val="22"/>
          <w:szCs w:val="22"/>
        </w:rPr>
        <w:t>En revanche, il n’est pas possible d’avoir des principes prédéfinis et les résolutions sont étudiées au cas par cas.</w:t>
      </w:r>
    </w:p>
    <w:p w14:paraId="3C72CFC1" w14:textId="77777777" w:rsidR="007F7503" w:rsidRPr="008757EA" w:rsidRDefault="007F7503" w:rsidP="007F7503">
      <w:pPr>
        <w:jc w:val="both"/>
        <w:rPr>
          <w:rFonts w:ascii="Avalon" w:hAnsi="Avalon"/>
          <w:sz w:val="22"/>
          <w:szCs w:val="22"/>
        </w:rPr>
      </w:pPr>
      <w:r w:rsidRPr="008757EA">
        <w:rPr>
          <w:rFonts w:ascii="Avalon" w:hAnsi="Avalon"/>
          <w:sz w:val="22"/>
          <w:szCs w:val="22"/>
        </w:rPr>
        <w:t>Le responsable du dossier conservera une copie du formulaire de vote par correspondance ou une note du vote effectué en cas de vote contraire à celui du Président de la société.</w:t>
      </w:r>
    </w:p>
    <w:p w14:paraId="4CD15A9D" w14:textId="77777777" w:rsidR="007F7503" w:rsidRPr="008757EA" w:rsidRDefault="007F7503" w:rsidP="007F7503">
      <w:pPr>
        <w:jc w:val="both"/>
        <w:rPr>
          <w:rFonts w:ascii="Avalon" w:hAnsi="Avalon"/>
        </w:rPr>
      </w:pPr>
    </w:p>
    <w:p w14:paraId="04C399D2" w14:textId="77777777" w:rsidR="003A0796" w:rsidRPr="008757EA" w:rsidRDefault="003A0796" w:rsidP="003A0796">
      <w:pPr>
        <w:jc w:val="both"/>
        <w:rPr>
          <w:rFonts w:ascii="Avalon" w:hAnsi="Avalon" w:cs="Arial"/>
        </w:rPr>
      </w:pPr>
    </w:p>
    <w:p w14:paraId="5EF0D226" w14:textId="3728FAD5" w:rsidR="003A0796" w:rsidRPr="008757EA" w:rsidRDefault="003A0796" w:rsidP="001C0F0F">
      <w:pPr>
        <w:pStyle w:val="T2modleAGAMA"/>
        <w:numPr>
          <w:ilvl w:val="0"/>
          <w:numId w:val="15"/>
        </w:numPr>
        <w:rPr>
          <w:rFonts w:ascii="Avalon" w:hAnsi="Avalon"/>
        </w:rPr>
      </w:pPr>
      <w:bookmarkStart w:id="23" w:name="_Toc105689525"/>
      <w:r w:rsidRPr="008757EA">
        <w:rPr>
          <w:rFonts w:ascii="Avalon" w:hAnsi="Avalon"/>
        </w:rPr>
        <w:t>Article D. 533-16-1, III, 4°, c – Bilan de la stratégie d’engagement</w:t>
      </w:r>
      <w:bookmarkEnd w:id="23"/>
    </w:p>
    <w:p w14:paraId="3A2B7E0B" w14:textId="77777777" w:rsidR="00CA4602" w:rsidRPr="008757EA" w:rsidRDefault="00CA4602" w:rsidP="00DF35FA">
      <w:pPr>
        <w:pStyle w:val="T2modleAGAMA"/>
        <w:numPr>
          <w:ilvl w:val="0"/>
          <w:numId w:val="0"/>
        </w:numPr>
        <w:rPr>
          <w:rFonts w:ascii="Avalon" w:hAnsi="Avalon"/>
        </w:rPr>
      </w:pPr>
    </w:p>
    <w:p w14:paraId="2597C984" w14:textId="455D1330" w:rsidR="005648ED" w:rsidRPr="008757EA" w:rsidRDefault="00281A7A" w:rsidP="005648ED">
      <w:pPr>
        <w:jc w:val="both"/>
        <w:rPr>
          <w:rFonts w:ascii="Avalon" w:hAnsi="Avalon"/>
          <w:sz w:val="22"/>
          <w:szCs w:val="22"/>
        </w:rPr>
      </w:pPr>
      <w:r w:rsidRPr="008757EA">
        <w:rPr>
          <w:rFonts w:ascii="Avalon" w:hAnsi="Avalon"/>
          <w:sz w:val="22"/>
          <w:szCs w:val="22"/>
        </w:rPr>
        <w:t>Le bilan de la stratégie d’engagement est synthétisé via les réponses des questionnaires annuels envoyés aux sociétés du portefeuille et dans le rapport ESG annuel établit par la société de gestion.</w:t>
      </w:r>
    </w:p>
    <w:p w14:paraId="35389166" w14:textId="77777777" w:rsidR="003A0796" w:rsidRPr="008757EA" w:rsidRDefault="003A0796" w:rsidP="003A0796">
      <w:pPr>
        <w:jc w:val="both"/>
        <w:rPr>
          <w:rFonts w:ascii="Avalon" w:hAnsi="Avalon" w:cs="Arial"/>
        </w:rPr>
      </w:pPr>
    </w:p>
    <w:p w14:paraId="562ECE78" w14:textId="77777777" w:rsidR="003A0796" w:rsidRPr="008757EA" w:rsidRDefault="003A0796" w:rsidP="001C0F0F">
      <w:pPr>
        <w:pStyle w:val="T2modleAGAMA"/>
        <w:numPr>
          <w:ilvl w:val="0"/>
          <w:numId w:val="15"/>
        </w:numPr>
        <w:rPr>
          <w:rFonts w:ascii="Avalon" w:hAnsi="Avalon"/>
        </w:rPr>
      </w:pPr>
      <w:bookmarkStart w:id="24" w:name="_Toc105689526"/>
      <w:r w:rsidRPr="008757EA">
        <w:rPr>
          <w:rFonts w:ascii="Avalon" w:hAnsi="Avalon"/>
        </w:rPr>
        <w:t>Article D. 533-16-1, III, 4°, e – Décisions prises en matière de stratégie d’investissement, notamment en matière d’engagement sectoriel</w:t>
      </w:r>
      <w:bookmarkEnd w:id="24"/>
    </w:p>
    <w:p w14:paraId="31F45DD4" w14:textId="77777777" w:rsidR="00CA4602" w:rsidRPr="008757EA" w:rsidRDefault="00CA4602" w:rsidP="003A0796">
      <w:pPr>
        <w:jc w:val="both"/>
        <w:rPr>
          <w:rFonts w:ascii="Avalon" w:hAnsi="Avalon" w:cs="Arial"/>
        </w:rPr>
      </w:pPr>
    </w:p>
    <w:p w14:paraId="27E2250E" w14:textId="77777777" w:rsidR="007F7503" w:rsidRPr="008757EA" w:rsidRDefault="007F7503" w:rsidP="007F7503">
      <w:pPr>
        <w:jc w:val="both"/>
        <w:rPr>
          <w:rFonts w:ascii="Avalon" w:hAnsi="Avalon"/>
          <w:sz w:val="22"/>
          <w:szCs w:val="22"/>
        </w:rPr>
      </w:pPr>
      <w:r w:rsidRPr="008757EA">
        <w:rPr>
          <w:rFonts w:ascii="Avalon" w:hAnsi="Avalon"/>
          <w:sz w:val="22"/>
          <w:szCs w:val="22"/>
        </w:rPr>
        <w:t xml:space="preserve">Alven intègre fortement les critères ESG dans sa politique d’investissement. Alven s’interdit d’investir dans des secteurs d’activités jugés non conformes à sa politiques ESG, notamment la production ou commercialisation d’armes non conventionnelles, la pornographie, ou faisant l’apologie de thèses racistes, terroristes ou sexistes, la commercialisation ou la production de tabac et de boissons alcoolisées. </w:t>
      </w:r>
    </w:p>
    <w:p w14:paraId="22D056B5" w14:textId="77777777" w:rsidR="003A0796" w:rsidRPr="008757EA" w:rsidRDefault="003A0796" w:rsidP="003A0796">
      <w:pPr>
        <w:rPr>
          <w:rFonts w:ascii="Avalon" w:hAnsi="Avalon" w:cs="Arial"/>
        </w:rPr>
      </w:pPr>
    </w:p>
    <w:p w14:paraId="2D9B3280" w14:textId="2820CB84" w:rsidR="003A0796" w:rsidRPr="008757EA" w:rsidRDefault="003A0796" w:rsidP="003A0796">
      <w:pPr>
        <w:pStyle w:val="Titre1"/>
        <w:jc w:val="both"/>
        <w:rPr>
          <w:rFonts w:ascii="Avalon" w:hAnsi="Avalon" w:cs="Times New Roman"/>
        </w:rPr>
      </w:pPr>
      <w:bookmarkStart w:id="25" w:name="_Toc105689527"/>
      <w:r w:rsidRPr="008757EA">
        <w:rPr>
          <w:rFonts w:ascii="Avalon" w:hAnsi="Avalon" w:cs="Times New Roman"/>
        </w:rPr>
        <w:t>8</w:t>
      </w:r>
      <w:r w:rsidR="00DE062A" w:rsidRPr="008757EA">
        <w:rPr>
          <w:rFonts w:ascii="Avalon" w:hAnsi="Avalon" w:cs="Times New Roman"/>
        </w:rPr>
        <w:t>.</w:t>
      </w:r>
      <w:r w:rsidRPr="008757EA">
        <w:rPr>
          <w:rFonts w:ascii="Avalon" w:hAnsi="Avalon" w:cs="Times New Roman"/>
        </w:rPr>
        <w:t xml:space="preserve"> Article D. 533-16-1, III, 6° - Informations sur la stratégie d’alignement avec les objectifs internationaux de limitation du réchauffement climatique prévus par l’Accord de Paris</w:t>
      </w:r>
      <w:bookmarkEnd w:id="25"/>
      <w:r w:rsidRPr="008757EA">
        <w:rPr>
          <w:rFonts w:ascii="Avalon" w:hAnsi="Avalon" w:cs="Times New Roman"/>
        </w:rPr>
        <w:t xml:space="preserve"> </w:t>
      </w:r>
    </w:p>
    <w:p w14:paraId="2FC0986B" w14:textId="77777777" w:rsidR="00CA4602" w:rsidRPr="008757EA" w:rsidRDefault="00CA4602" w:rsidP="003A0796">
      <w:pPr>
        <w:jc w:val="both"/>
        <w:rPr>
          <w:rFonts w:ascii="Avalon" w:hAnsi="Avalon" w:cs="Arial"/>
          <w:b/>
          <w:bCs/>
          <w:color w:val="002060"/>
        </w:rPr>
      </w:pPr>
    </w:p>
    <w:p w14:paraId="35ED1CB0" w14:textId="4EF1DD38" w:rsidR="003A0796" w:rsidRPr="008757EA" w:rsidRDefault="003A0796" w:rsidP="001C0F0F">
      <w:pPr>
        <w:pStyle w:val="T2modleAGAMA"/>
        <w:numPr>
          <w:ilvl w:val="0"/>
          <w:numId w:val="17"/>
        </w:numPr>
        <w:rPr>
          <w:rFonts w:ascii="Avalon" w:hAnsi="Avalon"/>
        </w:rPr>
      </w:pPr>
      <w:bookmarkStart w:id="26" w:name="_Toc105689528"/>
      <w:r w:rsidRPr="008757EA">
        <w:rPr>
          <w:rFonts w:ascii="Avalon" w:hAnsi="Avalon"/>
        </w:rPr>
        <w:lastRenderedPageBreak/>
        <w:t>Article D. 533-16-1, III, 6°, a – Objectif quantitatif à horizon 2030</w:t>
      </w:r>
      <w:bookmarkEnd w:id="26"/>
      <w:r w:rsidRPr="008757EA">
        <w:rPr>
          <w:rFonts w:ascii="Avalon" w:hAnsi="Avalon"/>
        </w:rPr>
        <w:t xml:space="preserve"> </w:t>
      </w:r>
    </w:p>
    <w:p w14:paraId="08FB3B46" w14:textId="77777777" w:rsidR="00CA4602" w:rsidRPr="008757EA" w:rsidRDefault="00CA4602" w:rsidP="003A0796">
      <w:pPr>
        <w:jc w:val="both"/>
        <w:rPr>
          <w:rFonts w:ascii="Avalon" w:hAnsi="Avalon" w:cs="Arial"/>
        </w:rPr>
      </w:pPr>
    </w:p>
    <w:p w14:paraId="7D75D510" w14:textId="77777777" w:rsidR="003E7CCE" w:rsidRPr="008757EA" w:rsidRDefault="003E7CCE" w:rsidP="003E7CCE">
      <w:pPr>
        <w:jc w:val="both"/>
        <w:rPr>
          <w:rFonts w:ascii="Avalon" w:hAnsi="Avalon"/>
          <w:sz w:val="22"/>
          <w:szCs w:val="22"/>
        </w:rPr>
      </w:pPr>
      <w:r w:rsidRPr="008757EA">
        <w:rPr>
          <w:rFonts w:ascii="Avalon" w:hAnsi="Avalon"/>
          <w:sz w:val="22"/>
          <w:szCs w:val="22"/>
        </w:rPr>
        <w:t>Mixité : Alven est particulièrement attentif à s’approcher d’un meilleur équilibre entre les profils masculins / féminins des sociétés qu’elle finance. A ce jour, Alven a financé 15 sociétés dirigées, fondées ou co-fondées par des femmes et s’engage à horizon 2025 à accroître substantiellement ses nouveaux investissements ayant au moins une femme parmi les fondateurs, ainsi que le nombre de femmes au niveau des comités de direction de ses sociétés en portefeuille.</w:t>
      </w:r>
    </w:p>
    <w:p w14:paraId="2C7BBD33" w14:textId="77777777" w:rsidR="003E7CCE" w:rsidRPr="008757EA" w:rsidRDefault="003E7CCE" w:rsidP="003E7CCE">
      <w:pPr>
        <w:jc w:val="both"/>
        <w:rPr>
          <w:rFonts w:ascii="Avalon" w:hAnsi="Avalon"/>
          <w:sz w:val="22"/>
          <w:szCs w:val="22"/>
        </w:rPr>
      </w:pPr>
    </w:p>
    <w:p w14:paraId="22162712" w14:textId="77777777" w:rsidR="003E7CCE" w:rsidRPr="008757EA" w:rsidRDefault="003E7CCE" w:rsidP="003E7CCE">
      <w:pPr>
        <w:jc w:val="both"/>
        <w:rPr>
          <w:rFonts w:ascii="Avalon" w:hAnsi="Avalon"/>
          <w:sz w:val="22"/>
          <w:szCs w:val="22"/>
        </w:rPr>
      </w:pPr>
      <w:r w:rsidRPr="008757EA">
        <w:rPr>
          <w:rFonts w:ascii="Avalon" w:hAnsi="Avalon"/>
          <w:sz w:val="22"/>
          <w:szCs w:val="22"/>
        </w:rPr>
        <w:t>Décarbonation : Alven s’est fixé pour objectif à horizon 2025 d’avoir le plus possible de sociétés du portefeuille de plus de 30 salariés qui mesurent et compensent leur empreinte carbone.</w:t>
      </w:r>
    </w:p>
    <w:p w14:paraId="183F4FF2" w14:textId="77777777" w:rsidR="003A0796" w:rsidRPr="008757EA" w:rsidRDefault="003A0796" w:rsidP="003A0796">
      <w:pPr>
        <w:jc w:val="both"/>
        <w:rPr>
          <w:rFonts w:ascii="Avalon" w:hAnsi="Avalon" w:cs="Arial"/>
          <w:b/>
          <w:bCs/>
          <w:color w:val="002060"/>
        </w:rPr>
      </w:pPr>
    </w:p>
    <w:p w14:paraId="4FEAB3AE" w14:textId="77777777" w:rsidR="003A0796" w:rsidRPr="008757EA" w:rsidRDefault="003A0796" w:rsidP="001C0F0F">
      <w:pPr>
        <w:pStyle w:val="T2modleAGAMA"/>
        <w:numPr>
          <w:ilvl w:val="0"/>
          <w:numId w:val="17"/>
        </w:numPr>
        <w:rPr>
          <w:rFonts w:ascii="Avalon" w:hAnsi="Avalon"/>
        </w:rPr>
      </w:pPr>
      <w:bookmarkStart w:id="27" w:name="_Toc105689529"/>
      <w:r w:rsidRPr="008757EA">
        <w:rPr>
          <w:rFonts w:ascii="Avalon" w:hAnsi="Avalon"/>
        </w:rPr>
        <w:t>Article D. 533-16-1, III, 6°, b – Eléments sur la méthodologie interne utilisée, le cas échéant, pour évaluer son alignement avec l’Accord de Paris ou la stratégie nationale bas carbone</w:t>
      </w:r>
      <w:bookmarkEnd w:id="27"/>
    </w:p>
    <w:p w14:paraId="40267BDF" w14:textId="77777777" w:rsidR="00AA351D" w:rsidRPr="008757EA" w:rsidRDefault="00AA351D" w:rsidP="003A0796">
      <w:pPr>
        <w:jc w:val="both"/>
        <w:rPr>
          <w:rFonts w:ascii="Avalon" w:hAnsi="Avalon" w:cs="Arial"/>
        </w:rPr>
      </w:pPr>
    </w:p>
    <w:p w14:paraId="7AF200C4" w14:textId="77777777" w:rsidR="003E7CCE" w:rsidRPr="008757EA" w:rsidRDefault="003E7CCE" w:rsidP="003E7CCE">
      <w:pPr>
        <w:jc w:val="both"/>
        <w:rPr>
          <w:rFonts w:ascii="Avalon" w:hAnsi="Avalon"/>
          <w:sz w:val="20"/>
          <w:szCs w:val="20"/>
        </w:rPr>
      </w:pPr>
      <w:bookmarkStart w:id="28" w:name="_Toc105689530"/>
      <w:r w:rsidRPr="008757EA">
        <w:rPr>
          <w:rFonts w:ascii="Avalon" w:hAnsi="Avalon"/>
          <w:sz w:val="20"/>
          <w:szCs w:val="20"/>
        </w:rPr>
        <w:t>La proximité d’Alven à l’égard des entreprises qu’elle finance permet aux responsables d’investissements une implication particulière avec chaque entreprise suivie, avec notamment de fréquentes rencontres avec leurs dirigeants et la mise à l’ordre du jour des sujets ESG.</w:t>
      </w:r>
    </w:p>
    <w:p w14:paraId="31145CA2" w14:textId="77777777" w:rsidR="003E7CCE" w:rsidRPr="008757EA" w:rsidRDefault="003E7CCE" w:rsidP="003E7CCE">
      <w:pPr>
        <w:jc w:val="both"/>
        <w:rPr>
          <w:rFonts w:ascii="Avalon" w:hAnsi="Avalon"/>
          <w:sz w:val="20"/>
          <w:szCs w:val="20"/>
        </w:rPr>
      </w:pPr>
      <w:r w:rsidRPr="008757EA">
        <w:rPr>
          <w:rFonts w:ascii="Avalon" w:hAnsi="Avalon"/>
          <w:sz w:val="20"/>
          <w:szCs w:val="20"/>
        </w:rPr>
        <w:t>Les critères ESG seront pris en compte tout au long du cycle d’investissement. Nous veillons notamment à ce que l’ensemble de nos participations respecte les normes et réglementations qui leur sont applicables.</w:t>
      </w:r>
    </w:p>
    <w:p w14:paraId="75328F63" w14:textId="77777777" w:rsidR="003E7CCE" w:rsidRPr="008757EA" w:rsidRDefault="003E7CCE" w:rsidP="003E7CCE">
      <w:pPr>
        <w:widowControl w:val="0"/>
        <w:tabs>
          <w:tab w:val="left" w:pos="1083"/>
        </w:tabs>
        <w:autoSpaceDE w:val="0"/>
        <w:autoSpaceDN w:val="0"/>
        <w:spacing w:before="1"/>
        <w:ind w:right="114"/>
        <w:jc w:val="both"/>
        <w:rPr>
          <w:rFonts w:ascii="Avalon" w:eastAsia="Verdana" w:hAnsi="Avalon" w:cs="Verdana"/>
          <w:sz w:val="20"/>
          <w:szCs w:val="20"/>
        </w:rPr>
      </w:pPr>
    </w:p>
    <w:p w14:paraId="2FB3AF51" w14:textId="77777777" w:rsidR="003E7CCE" w:rsidRPr="008757EA" w:rsidRDefault="003E7CCE" w:rsidP="003E7CCE">
      <w:pPr>
        <w:widowControl w:val="0"/>
        <w:numPr>
          <w:ilvl w:val="0"/>
          <w:numId w:val="24"/>
        </w:numPr>
        <w:autoSpaceDE w:val="0"/>
        <w:autoSpaceDN w:val="0"/>
        <w:spacing w:before="123"/>
        <w:ind w:right="119"/>
        <w:contextualSpacing/>
        <w:jc w:val="both"/>
        <w:rPr>
          <w:rFonts w:ascii="Avalon" w:eastAsia="Calibri" w:hAnsi="Avalon" w:cs="Calibri"/>
          <w:sz w:val="20"/>
          <w:szCs w:val="20"/>
        </w:rPr>
      </w:pPr>
      <w:r w:rsidRPr="008757EA">
        <w:rPr>
          <w:rFonts w:ascii="Avalon" w:eastAsia="Calibri" w:hAnsi="Avalon" w:cs="Calibri"/>
          <w:sz w:val="20"/>
          <w:szCs w:val="20"/>
        </w:rPr>
        <w:t>Lors du processus d’investissement</w:t>
      </w:r>
    </w:p>
    <w:p w14:paraId="1B599510" w14:textId="77777777" w:rsidR="003E7CCE" w:rsidRPr="008757EA" w:rsidRDefault="003E7CCE" w:rsidP="003E7CCE">
      <w:pPr>
        <w:widowControl w:val="0"/>
        <w:autoSpaceDE w:val="0"/>
        <w:autoSpaceDN w:val="0"/>
        <w:spacing w:before="123"/>
        <w:ind w:left="1082" w:right="119"/>
        <w:contextualSpacing/>
        <w:jc w:val="both"/>
        <w:rPr>
          <w:rFonts w:ascii="Avalon" w:eastAsia="Calibri" w:hAnsi="Avalon" w:cs="Calibri"/>
          <w:sz w:val="20"/>
          <w:szCs w:val="20"/>
        </w:rPr>
      </w:pPr>
    </w:p>
    <w:p w14:paraId="76FF7F44" w14:textId="77777777" w:rsidR="003E7CCE" w:rsidRPr="008757EA" w:rsidRDefault="003E7CCE" w:rsidP="003E7CCE">
      <w:pPr>
        <w:jc w:val="both"/>
        <w:rPr>
          <w:rFonts w:ascii="Avalon" w:hAnsi="Avalon"/>
          <w:sz w:val="20"/>
          <w:szCs w:val="20"/>
        </w:rPr>
      </w:pPr>
      <w:r w:rsidRPr="008757EA">
        <w:rPr>
          <w:rFonts w:ascii="Avalon" w:hAnsi="Avalon"/>
          <w:sz w:val="20"/>
          <w:szCs w:val="20"/>
        </w:rPr>
        <w:t>En amont de l’investissement dans une nouvelle participation, le responsable d’investissement demande systématiquement à la société cible de fournir, si elle existe, sa charte/politique « ESG », ou à défaut se renseigne sur les différents éléments mis en place dans cette optique. Il est également demandé à la société cible de compléter un questionnaire afin d’établir un état des lieux de leur politique en matière ESG et de matérialiser leur risque climatique, et ce afin de proposer certains points d’amélioration en matière ESG.</w:t>
      </w:r>
    </w:p>
    <w:p w14:paraId="42C239E8" w14:textId="77777777" w:rsidR="003E7CCE" w:rsidRPr="008757EA" w:rsidRDefault="003E7CCE" w:rsidP="003E7CCE">
      <w:pPr>
        <w:jc w:val="both"/>
        <w:rPr>
          <w:rFonts w:ascii="Avalon" w:hAnsi="Avalon"/>
          <w:sz w:val="20"/>
          <w:szCs w:val="20"/>
        </w:rPr>
      </w:pPr>
      <w:r w:rsidRPr="008757EA">
        <w:rPr>
          <w:rFonts w:ascii="Avalon" w:hAnsi="Avalon"/>
          <w:sz w:val="20"/>
          <w:szCs w:val="20"/>
        </w:rPr>
        <w:t>Alven demande, par le biais de l’insertion de clauses spécifiques dans les « </w:t>
      </w:r>
      <w:proofErr w:type="spellStart"/>
      <w:r w:rsidRPr="008757EA">
        <w:rPr>
          <w:rFonts w:ascii="Avalon" w:hAnsi="Avalon"/>
          <w:sz w:val="20"/>
          <w:szCs w:val="20"/>
        </w:rPr>
        <w:t>term</w:t>
      </w:r>
      <w:proofErr w:type="spellEnd"/>
      <w:r w:rsidRPr="008757EA">
        <w:rPr>
          <w:rFonts w:ascii="Avalon" w:hAnsi="Avalon"/>
          <w:sz w:val="20"/>
          <w:szCs w:val="20"/>
        </w:rPr>
        <w:t xml:space="preserve"> </w:t>
      </w:r>
      <w:proofErr w:type="spellStart"/>
      <w:r w:rsidRPr="008757EA">
        <w:rPr>
          <w:rFonts w:ascii="Avalon" w:hAnsi="Avalon"/>
          <w:sz w:val="20"/>
          <w:szCs w:val="20"/>
        </w:rPr>
        <w:t>sheet</w:t>
      </w:r>
      <w:proofErr w:type="spellEnd"/>
      <w:r w:rsidRPr="008757EA">
        <w:rPr>
          <w:rFonts w:ascii="Avalon" w:hAnsi="Avalon"/>
          <w:sz w:val="20"/>
          <w:szCs w:val="20"/>
        </w:rPr>
        <w:t xml:space="preserve"> » et les pactes d’actionnaires, aux nouvelles sociétés entrant dans son portefeuille de s’engager à effectuer un bilan carbone ou équivalent dès lors qu’elle atteindrait le seuil de plus de 30 salariés. </w:t>
      </w:r>
    </w:p>
    <w:p w14:paraId="303449D5" w14:textId="77777777" w:rsidR="003E7CCE" w:rsidRPr="008757EA" w:rsidRDefault="003E7CCE" w:rsidP="003E7CCE">
      <w:pPr>
        <w:widowControl w:val="0"/>
        <w:autoSpaceDE w:val="0"/>
        <w:autoSpaceDN w:val="0"/>
        <w:spacing w:before="123"/>
        <w:ind w:right="119"/>
        <w:jc w:val="both"/>
        <w:rPr>
          <w:rFonts w:ascii="Avalon" w:eastAsia="Calibri" w:hAnsi="Avalon" w:cs="Calibri"/>
          <w:sz w:val="20"/>
          <w:szCs w:val="20"/>
        </w:rPr>
      </w:pPr>
    </w:p>
    <w:p w14:paraId="61012DF8" w14:textId="77777777" w:rsidR="003E7CCE" w:rsidRPr="008757EA" w:rsidRDefault="003E7CCE" w:rsidP="003E7CCE">
      <w:pPr>
        <w:widowControl w:val="0"/>
        <w:numPr>
          <w:ilvl w:val="0"/>
          <w:numId w:val="24"/>
        </w:numPr>
        <w:autoSpaceDE w:val="0"/>
        <w:autoSpaceDN w:val="0"/>
        <w:spacing w:before="123"/>
        <w:ind w:right="119"/>
        <w:contextualSpacing/>
        <w:jc w:val="both"/>
        <w:rPr>
          <w:rFonts w:ascii="Avalon" w:eastAsia="Calibri" w:hAnsi="Avalon" w:cs="Calibri"/>
          <w:sz w:val="20"/>
          <w:szCs w:val="20"/>
        </w:rPr>
      </w:pPr>
      <w:r w:rsidRPr="008757EA">
        <w:rPr>
          <w:rFonts w:ascii="Avalon" w:eastAsia="Calibri" w:hAnsi="Avalon" w:cs="Calibri"/>
          <w:sz w:val="20"/>
          <w:szCs w:val="20"/>
        </w:rPr>
        <w:t>Lors du suivi des participations</w:t>
      </w:r>
    </w:p>
    <w:p w14:paraId="054D68C6" w14:textId="77777777" w:rsidR="003E7CCE" w:rsidRPr="008757EA" w:rsidRDefault="003E7CCE" w:rsidP="003E7CCE">
      <w:pPr>
        <w:widowControl w:val="0"/>
        <w:autoSpaceDE w:val="0"/>
        <w:autoSpaceDN w:val="0"/>
        <w:spacing w:before="123"/>
        <w:ind w:left="1082" w:right="119"/>
        <w:contextualSpacing/>
        <w:jc w:val="both"/>
        <w:rPr>
          <w:rFonts w:ascii="Avalon" w:eastAsia="Calibri" w:hAnsi="Avalon" w:cs="Calibri"/>
          <w:sz w:val="20"/>
          <w:szCs w:val="20"/>
        </w:rPr>
      </w:pPr>
    </w:p>
    <w:p w14:paraId="05B93A11" w14:textId="77777777" w:rsidR="003E7CCE" w:rsidRPr="008757EA" w:rsidRDefault="003E7CCE" w:rsidP="003E7CCE">
      <w:pPr>
        <w:jc w:val="both"/>
        <w:rPr>
          <w:rFonts w:ascii="Avalon" w:hAnsi="Avalon"/>
          <w:sz w:val="20"/>
          <w:szCs w:val="20"/>
        </w:rPr>
      </w:pPr>
      <w:r w:rsidRPr="008757EA">
        <w:rPr>
          <w:rFonts w:ascii="Avalon" w:hAnsi="Avalon"/>
          <w:sz w:val="20"/>
          <w:szCs w:val="20"/>
        </w:rPr>
        <w:t xml:space="preserve">Chaque année, Alven sollicite la totalité des sociétés en portefeuille des différents fonds afin que ces dernières complètent le questionnaire « ESG » annuel établi en adéquation avec les demandes et recommandations des investisseurs et de France Invest. </w:t>
      </w:r>
    </w:p>
    <w:p w14:paraId="2DF55241" w14:textId="77777777" w:rsidR="003E7CCE" w:rsidRPr="008757EA" w:rsidRDefault="003E7CCE" w:rsidP="003E7CCE">
      <w:pPr>
        <w:jc w:val="both"/>
        <w:rPr>
          <w:rFonts w:ascii="Avalon" w:hAnsi="Avalon"/>
          <w:sz w:val="20"/>
          <w:szCs w:val="20"/>
        </w:rPr>
      </w:pPr>
      <w:r w:rsidRPr="008757EA">
        <w:rPr>
          <w:rFonts w:ascii="Avalon" w:hAnsi="Avalon"/>
          <w:sz w:val="20"/>
          <w:szCs w:val="20"/>
        </w:rPr>
        <w:t>Les réponses au questionnaire sont analysées et font l’objet d’une notation afin de suivre l’évolution des différents critères tout au long de la durée de détention de la participation et synthétisées dans un rapport envoyé aux investisseurs : quatre thèmes sont pris en compte, la politique ESG générale, la politique environnementale, sociétale et la gouvernance. Chaque thème contient de 4 à 13 critères, pour lesquels une notation entre 1 et 4 est attribuée. Un multiple est appliqué pour les thèmes sur lesquels Alven porte une attention particulière, à savoir la mixité et la décarbonation.</w:t>
      </w:r>
    </w:p>
    <w:p w14:paraId="3761444E" w14:textId="77777777" w:rsidR="003E7CCE" w:rsidRPr="008757EA" w:rsidRDefault="003E7CCE" w:rsidP="003E7CCE">
      <w:pPr>
        <w:widowControl w:val="0"/>
        <w:autoSpaceDE w:val="0"/>
        <w:autoSpaceDN w:val="0"/>
        <w:spacing w:before="123"/>
        <w:ind w:left="1082" w:right="119"/>
        <w:contextualSpacing/>
        <w:jc w:val="both"/>
        <w:rPr>
          <w:rFonts w:ascii="Avalon" w:eastAsia="Calibri" w:hAnsi="Avalon" w:cs="Calibri"/>
          <w:sz w:val="20"/>
          <w:szCs w:val="20"/>
        </w:rPr>
      </w:pPr>
    </w:p>
    <w:p w14:paraId="2986431F" w14:textId="77777777" w:rsidR="003E7CCE" w:rsidRPr="008757EA" w:rsidRDefault="003E7CCE" w:rsidP="003E7CCE">
      <w:pPr>
        <w:widowControl w:val="0"/>
        <w:numPr>
          <w:ilvl w:val="0"/>
          <w:numId w:val="24"/>
        </w:numPr>
        <w:autoSpaceDE w:val="0"/>
        <w:autoSpaceDN w:val="0"/>
        <w:spacing w:before="123"/>
        <w:ind w:right="119"/>
        <w:contextualSpacing/>
        <w:jc w:val="both"/>
        <w:rPr>
          <w:rFonts w:ascii="Avalon" w:eastAsia="Calibri" w:hAnsi="Avalon" w:cs="Calibri"/>
          <w:sz w:val="20"/>
          <w:szCs w:val="20"/>
        </w:rPr>
      </w:pPr>
      <w:r w:rsidRPr="008757EA">
        <w:rPr>
          <w:rFonts w:ascii="Avalon" w:eastAsia="Calibri" w:hAnsi="Avalon" w:cs="Calibri"/>
          <w:sz w:val="20"/>
          <w:szCs w:val="20"/>
        </w:rPr>
        <w:t>Lors des échanges avec les participations</w:t>
      </w:r>
    </w:p>
    <w:p w14:paraId="1EC9CD7D" w14:textId="77777777" w:rsidR="003E7CCE" w:rsidRPr="008757EA" w:rsidRDefault="003E7CCE" w:rsidP="003E7CCE">
      <w:pPr>
        <w:widowControl w:val="0"/>
        <w:autoSpaceDE w:val="0"/>
        <w:autoSpaceDN w:val="0"/>
        <w:spacing w:before="123"/>
        <w:ind w:left="1082" w:right="119"/>
        <w:contextualSpacing/>
        <w:jc w:val="both"/>
        <w:rPr>
          <w:rFonts w:ascii="Avalon" w:eastAsia="Calibri" w:hAnsi="Avalon" w:cs="Calibri"/>
          <w:sz w:val="20"/>
          <w:szCs w:val="20"/>
        </w:rPr>
      </w:pPr>
    </w:p>
    <w:p w14:paraId="3EDCE3FD" w14:textId="79CD461D" w:rsidR="003E7CCE" w:rsidRPr="008757EA" w:rsidRDefault="003E7CCE" w:rsidP="003E7CCE">
      <w:pPr>
        <w:jc w:val="both"/>
        <w:rPr>
          <w:rFonts w:ascii="Avalon" w:hAnsi="Avalon"/>
          <w:sz w:val="20"/>
          <w:szCs w:val="20"/>
        </w:rPr>
      </w:pPr>
      <w:r w:rsidRPr="008757EA">
        <w:rPr>
          <w:rFonts w:ascii="Avalon" w:hAnsi="Avalon"/>
          <w:sz w:val="20"/>
          <w:szCs w:val="20"/>
        </w:rPr>
        <w:t>La proximité d’Alven à l’égard des entreprises qu’elle finance permet aux responsables d’investissements une implication particulière avec chaque entreprise suivie, avec notamment de fréquentes rencontres avec leurs dirigeants et la mise à l’ordre du jour</w:t>
      </w:r>
      <w:r w:rsidR="00BA4D03" w:rsidRPr="008757EA">
        <w:rPr>
          <w:rFonts w:ascii="Avalon" w:hAnsi="Avalon"/>
          <w:sz w:val="20"/>
          <w:szCs w:val="20"/>
        </w:rPr>
        <w:t xml:space="preserve"> des Conseils d’</w:t>
      </w:r>
      <w:proofErr w:type="spellStart"/>
      <w:r w:rsidR="00BA4D03" w:rsidRPr="008757EA">
        <w:rPr>
          <w:rFonts w:ascii="Avalon" w:hAnsi="Avalon"/>
          <w:sz w:val="20"/>
          <w:szCs w:val="20"/>
        </w:rPr>
        <w:t>Aministration</w:t>
      </w:r>
      <w:proofErr w:type="spellEnd"/>
      <w:r w:rsidR="00BA4D03" w:rsidRPr="008757EA">
        <w:rPr>
          <w:rFonts w:ascii="Avalon" w:hAnsi="Avalon"/>
          <w:sz w:val="20"/>
          <w:szCs w:val="20"/>
        </w:rPr>
        <w:t xml:space="preserve"> / Comités Stratégiques</w:t>
      </w:r>
      <w:r w:rsidRPr="008757EA">
        <w:rPr>
          <w:rFonts w:ascii="Avalon" w:hAnsi="Avalon"/>
          <w:sz w:val="20"/>
          <w:szCs w:val="20"/>
        </w:rPr>
        <w:t xml:space="preserve"> des sujets ESG</w:t>
      </w:r>
      <w:r w:rsidR="00BA4D03" w:rsidRPr="008757EA">
        <w:rPr>
          <w:rFonts w:ascii="Avalon" w:hAnsi="Avalon"/>
          <w:sz w:val="20"/>
          <w:szCs w:val="20"/>
        </w:rPr>
        <w:t>.</w:t>
      </w:r>
    </w:p>
    <w:p w14:paraId="0332A679" w14:textId="77777777" w:rsidR="005648ED" w:rsidRPr="008757EA" w:rsidRDefault="005648ED" w:rsidP="005648ED">
      <w:pPr>
        <w:jc w:val="both"/>
        <w:rPr>
          <w:rFonts w:ascii="Avalon" w:hAnsi="Avalon"/>
        </w:rPr>
      </w:pPr>
    </w:p>
    <w:p w14:paraId="744388C5" w14:textId="77777777" w:rsidR="003A0796" w:rsidRPr="008757EA" w:rsidRDefault="003A0796" w:rsidP="001C0F0F">
      <w:pPr>
        <w:pStyle w:val="T2modleAGAMA"/>
        <w:numPr>
          <w:ilvl w:val="0"/>
          <w:numId w:val="17"/>
        </w:numPr>
        <w:rPr>
          <w:rFonts w:ascii="Avalon" w:hAnsi="Avalon"/>
        </w:rPr>
      </w:pPr>
      <w:r w:rsidRPr="008757EA">
        <w:rPr>
          <w:rFonts w:ascii="Avalon" w:hAnsi="Avalon"/>
        </w:rPr>
        <w:lastRenderedPageBreak/>
        <w:t>Article D. 533-16-1, III, 6°, c – Informations sur la quantification des résultats à l’aide d’au moins un indicateur</w:t>
      </w:r>
      <w:bookmarkEnd w:id="28"/>
    </w:p>
    <w:p w14:paraId="70D3E380" w14:textId="77777777" w:rsidR="00AA351D" w:rsidRPr="008757EA" w:rsidRDefault="00AA351D" w:rsidP="003A0796">
      <w:pPr>
        <w:jc w:val="both"/>
        <w:rPr>
          <w:rFonts w:ascii="Avalon" w:hAnsi="Avalon" w:cs="Arial"/>
        </w:rPr>
      </w:pPr>
    </w:p>
    <w:p w14:paraId="49293018" w14:textId="7F4E80EA" w:rsidR="005648ED" w:rsidRPr="008757EA" w:rsidRDefault="003E7CCE" w:rsidP="005648ED">
      <w:pPr>
        <w:jc w:val="both"/>
        <w:rPr>
          <w:rFonts w:ascii="Avalon" w:hAnsi="Avalon"/>
        </w:rPr>
      </w:pPr>
      <w:r w:rsidRPr="008757EA">
        <w:rPr>
          <w:rFonts w:ascii="Avalon" w:hAnsi="Avalon"/>
        </w:rPr>
        <w:t xml:space="preserve">Chaque année Alven réalise une estimation des émissions carbone de </w:t>
      </w:r>
      <w:proofErr w:type="gramStart"/>
      <w:r w:rsidRPr="008757EA">
        <w:rPr>
          <w:rFonts w:ascii="Avalon" w:hAnsi="Avalon"/>
        </w:rPr>
        <w:t>son  portefeuille</w:t>
      </w:r>
      <w:proofErr w:type="gramEnd"/>
      <w:r w:rsidRPr="008757EA">
        <w:rPr>
          <w:rFonts w:ascii="Avalon" w:hAnsi="Avalon"/>
        </w:rPr>
        <w:t xml:space="preserve"> à l’aide d’un prestataire externalisé.</w:t>
      </w:r>
    </w:p>
    <w:p w14:paraId="7B7C4F5D" w14:textId="77777777" w:rsidR="003A0796" w:rsidRPr="008757EA" w:rsidRDefault="003A0796" w:rsidP="003A0796">
      <w:pPr>
        <w:jc w:val="both"/>
        <w:rPr>
          <w:rFonts w:ascii="Avalon" w:hAnsi="Avalon" w:cs="Arial"/>
          <w:b/>
          <w:bCs/>
          <w:color w:val="002060"/>
        </w:rPr>
      </w:pPr>
    </w:p>
    <w:p w14:paraId="6AFD9D71" w14:textId="529BBDBE" w:rsidR="003A0796" w:rsidRPr="008757EA" w:rsidRDefault="003A0796" w:rsidP="001C0F0F">
      <w:pPr>
        <w:pStyle w:val="T2modleAGAMA"/>
        <w:numPr>
          <w:ilvl w:val="0"/>
          <w:numId w:val="17"/>
        </w:numPr>
        <w:rPr>
          <w:rFonts w:ascii="Avalon" w:hAnsi="Avalon"/>
        </w:rPr>
      </w:pPr>
      <w:bookmarkStart w:id="29" w:name="_Toc105689531"/>
      <w:r w:rsidRPr="008757EA">
        <w:rPr>
          <w:rFonts w:ascii="Avalon" w:hAnsi="Avalon"/>
        </w:rPr>
        <w:t xml:space="preserve">Article D. 533-16-1, III, 6°, e – Informations sur comment la dimension environnementale, notamment l’empreinte carbone, est intégrée dans la stratégie d’investissement de </w:t>
      </w:r>
      <w:r w:rsidR="00AA351D" w:rsidRPr="008757EA">
        <w:rPr>
          <w:rFonts w:ascii="Avalon" w:hAnsi="Avalon"/>
        </w:rPr>
        <w:t>la société de gestion</w:t>
      </w:r>
      <w:bookmarkEnd w:id="29"/>
    </w:p>
    <w:p w14:paraId="3BCB089A" w14:textId="77777777" w:rsidR="00AA351D" w:rsidRPr="008757EA" w:rsidRDefault="00AA351D" w:rsidP="00DF35FA">
      <w:pPr>
        <w:pStyle w:val="T2modleAGAMA"/>
        <w:numPr>
          <w:ilvl w:val="0"/>
          <w:numId w:val="0"/>
        </w:numPr>
        <w:rPr>
          <w:rFonts w:ascii="Avalon" w:hAnsi="Avalon"/>
        </w:rPr>
      </w:pPr>
    </w:p>
    <w:p w14:paraId="4C26F524" w14:textId="40CE27CD" w:rsidR="005648ED" w:rsidRPr="008757EA" w:rsidRDefault="003E7CCE" w:rsidP="005648ED">
      <w:pPr>
        <w:jc w:val="both"/>
        <w:rPr>
          <w:rFonts w:ascii="Avalon" w:hAnsi="Avalon"/>
        </w:rPr>
      </w:pPr>
      <w:r w:rsidRPr="008757EA">
        <w:rPr>
          <w:rFonts w:ascii="Avalon" w:hAnsi="Avalon"/>
        </w:rPr>
        <w:t>Cf ci-dessus (paragraphe 8B).</w:t>
      </w:r>
    </w:p>
    <w:p w14:paraId="43B9928E" w14:textId="77777777" w:rsidR="003A0796" w:rsidRPr="008757EA" w:rsidRDefault="003A0796" w:rsidP="003A0796">
      <w:pPr>
        <w:jc w:val="both"/>
        <w:rPr>
          <w:rFonts w:ascii="Avalon" w:hAnsi="Avalon" w:cs="Arial"/>
          <w:b/>
          <w:bCs/>
          <w:color w:val="002060"/>
        </w:rPr>
      </w:pPr>
    </w:p>
    <w:p w14:paraId="41382D4C" w14:textId="77777777" w:rsidR="003A0796" w:rsidRPr="008757EA" w:rsidRDefault="003A0796" w:rsidP="001C0F0F">
      <w:pPr>
        <w:pStyle w:val="T2modleAGAMA"/>
        <w:numPr>
          <w:ilvl w:val="0"/>
          <w:numId w:val="17"/>
        </w:numPr>
        <w:rPr>
          <w:rFonts w:ascii="Avalon" w:hAnsi="Avalon"/>
        </w:rPr>
      </w:pPr>
      <w:bookmarkStart w:id="30" w:name="_Toc105689532"/>
      <w:r w:rsidRPr="008757EA">
        <w:rPr>
          <w:rFonts w:ascii="Avalon" w:hAnsi="Avalon"/>
        </w:rPr>
        <w:t>Article D. 533-16-1, III, 6°, f – Informations sur les changements intervenus dans la stratégie d’investissement en lien avec la stratégie d’alignement avec les accords de Paris</w:t>
      </w:r>
      <w:bookmarkEnd w:id="30"/>
    </w:p>
    <w:p w14:paraId="1C3D919F" w14:textId="77777777" w:rsidR="00AA351D" w:rsidRPr="008757EA" w:rsidRDefault="00AA351D" w:rsidP="003A0796">
      <w:pPr>
        <w:jc w:val="both"/>
        <w:rPr>
          <w:rFonts w:ascii="Avalon" w:hAnsi="Avalon" w:cs="Arial"/>
        </w:rPr>
      </w:pPr>
    </w:p>
    <w:p w14:paraId="0D97508E" w14:textId="373A617D" w:rsidR="005648ED" w:rsidRPr="008757EA" w:rsidRDefault="0064004D" w:rsidP="005648ED">
      <w:pPr>
        <w:jc w:val="both"/>
        <w:rPr>
          <w:rFonts w:ascii="Avalon" w:hAnsi="Avalon"/>
        </w:rPr>
      </w:pPr>
      <w:r w:rsidRPr="008757EA">
        <w:rPr>
          <w:rFonts w:ascii="Avalon" w:hAnsi="Avalon"/>
        </w:rPr>
        <w:t>Les informations relatives aux</w:t>
      </w:r>
      <w:r w:rsidR="003E7CCE" w:rsidRPr="008757EA">
        <w:rPr>
          <w:rFonts w:ascii="Avalon" w:hAnsi="Avalon"/>
        </w:rPr>
        <w:t xml:space="preserve"> les changements </w:t>
      </w:r>
      <w:r w:rsidRPr="008757EA">
        <w:rPr>
          <w:rFonts w:ascii="Avalon" w:hAnsi="Avalon"/>
        </w:rPr>
        <w:t xml:space="preserve">de stratégies d’investissement </w:t>
      </w:r>
      <w:r w:rsidR="003E7CCE" w:rsidRPr="008757EA">
        <w:rPr>
          <w:rFonts w:ascii="Avalon" w:hAnsi="Avalon"/>
        </w:rPr>
        <w:t xml:space="preserve">sont </w:t>
      </w:r>
      <w:r w:rsidRPr="008757EA">
        <w:rPr>
          <w:rFonts w:ascii="Avalon" w:hAnsi="Avalon"/>
        </w:rPr>
        <w:t>communiqués</w:t>
      </w:r>
      <w:r w:rsidR="003E7CCE" w:rsidRPr="008757EA">
        <w:rPr>
          <w:rFonts w:ascii="Avalon" w:hAnsi="Avalon"/>
        </w:rPr>
        <w:t xml:space="preserve"> aux investisseurs </w:t>
      </w:r>
      <w:r w:rsidRPr="008757EA">
        <w:rPr>
          <w:rFonts w:ascii="Avalon" w:hAnsi="Avalon"/>
        </w:rPr>
        <w:t xml:space="preserve">via les </w:t>
      </w:r>
      <w:proofErr w:type="spellStart"/>
      <w:r w:rsidRPr="008757EA">
        <w:rPr>
          <w:rFonts w:ascii="Avalon" w:hAnsi="Avalon"/>
        </w:rPr>
        <w:t>reporting</w:t>
      </w:r>
      <w:proofErr w:type="spellEnd"/>
      <w:r w:rsidRPr="008757EA">
        <w:rPr>
          <w:rFonts w:ascii="Avalon" w:hAnsi="Avalon"/>
        </w:rPr>
        <w:t xml:space="preserve"> trimestriels/annuels, les </w:t>
      </w:r>
      <w:proofErr w:type="spellStart"/>
      <w:r w:rsidRPr="008757EA">
        <w:rPr>
          <w:rFonts w:ascii="Avalon" w:hAnsi="Avalon"/>
        </w:rPr>
        <w:t>reporting</w:t>
      </w:r>
      <w:proofErr w:type="spellEnd"/>
      <w:r w:rsidRPr="008757EA">
        <w:rPr>
          <w:rFonts w:ascii="Avalon" w:hAnsi="Avalon"/>
        </w:rPr>
        <w:t xml:space="preserve"> ESG ainsi qu’aux réunions annuelles des porteurs le cas échéant.</w:t>
      </w:r>
    </w:p>
    <w:p w14:paraId="36EAAA3E" w14:textId="77777777" w:rsidR="00AA351D" w:rsidRPr="008757EA" w:rsidRDefault="00AA351D" w:rsidP="003A0796">
      <w:pPr>
        <w:jc w:val="both"/>
        <w:rPr>
          <w:rFonts w:ascii="Avalon" w:hAnsi="Avalon" w:cs="Arial"/>
        </w:rPr>
      </w:pPr>
    </w:p>
    <w:p w14:paraId="4F3175B9" w14:textId="77777777" w:rsidR="003A0796" w:rsidRPr="008757EA" w:rsidRDefault="003A0796" w:rsidP="001C0F0F">
      <w:pPr>
        <w:pStyle w:val="T2modleAGAMA"/>
        <w:numPr>
          <w:ilvl w:val="0"/>
          <w:numId w:val="17"/>
        </w:numPr>
        <w:rPr>
          <w:rFonts w:ascii="Avalon" w:hAnsi="Avalon"/>
        </w:rPr>
      </w:pPr>
      <w:bookmarkStart w:id="31" w:name="_Toc105689533"/>
      <w:r w:rsidRPr="008757EA">
        <w:rPr>
          <w:rFonts w:ascii="Avalon" w:hAnsi="Avalon"/>
        </w:rPr>
        <w:t>Article D. 533-16-1, III, 6°, g – Informations sur les éventuelles actions de suivi des résultats et des changements intervenus</w:t>
      </w:r>
      <w:bookmarkEnd w:id="31"/>
    </w:p>
    <w:p w14:paraId="6C203EDF" w14:textId="77777777" w:rsidR="00AA351D" w:rsidRPr="008757EA" w:rsidRDefault="00AA351D" w:rsidP="003A0796">
      <w:pPr>
        <w:jc w:val="both"/>
        <w:rPr>
          <w:rFonts w:ascii="Avalon" w:hAnsi="Avalon" w:cs="Arial"/>
        </w:rPr>
      </w:pPr>
    </w:p>
    <w:p w14:paraId="00FA0F56" w14:textId="527B13F3" w:rsidR="005648ED" w:rsidRPr="008757EA" w:rsidRDefault="0064004D" w:rsidP="005648ED">
      <w:pPr>
        <w:jc w:val="both"/>
        <w:rPr>
          <w:rFonts w:ascii="Avalon" w:hAnsi="Avalon"/>
        </w:rPr>
      </w:pPr>
      <w:r w:rsidRPr="008757EA">
        <w:rPr>
          <w:rFonts w:ascii="Avalon" w:hAnsi="Avalon"/>
        </w:rPr>
        <w:t>Idem point E.</w:t>
      </w:r>
    </w:p>
    <w:p w14:paraId="4152BD93" w14:textId="77777777" w:rsidR="003A0796" w:rsidRPr="008757EA" w:rsidRDefault="003A0796" w:rsidP="003A0796">
      <w:pPr>
        <w:jc w:val="both"/>
        <w:rPr>
          <w:rFonts w:ascii="Avalon" w:hAnsi="Avalon" w:cs="Arial"/>
          <w:b/>
          <w:bCs/>
          <w:color w:val="002060"/>
        </w:rPr>
      </w:pPr>
    </w:p>
    <w:p w14:paraId="1E3F99D4" w14:textId="77777777" w:rsidR="003A0796" w:rsidRPr="008757EA" w:rsidRDefault="003A0796" w:rsidP="001C0F0F">
      <w:pPr>
        <w:pStyle w:val="T2modleAGAMA"/>
        <w:numPr>
          <w:ilvl w:val="0"/>
          <w:numId w:val="17"/>
        </w:numPr>
        <w:rPr>
          <w:rFonts w:ascii="Avalon" w:hAnsi="Avalon"/>
        </w:rPr>
      </w:pPr>
      <w:bookmarkStart w:id="32" w:name="_Toc105689534"/>
      <w:r w:rsidRPr="008757EA">
        <w:rPr>
          <w:rFonts w:ascii="Avalon" w:hAnsi="Avalon"/>
        </w:rPr>
        <w:t>Article D. 533-16-1, III, 6°, h – Informations sur la fréquence de l’évaluation, les dates prévisionnelles de mise à jour et les facteurs d’évolution pertinents</w:t>
      </w:r>
      <w:bookmarkEnd w:id="32"/>
    </w:p>
    <w:p w14:paraId="28D77835" w14:textId="77777777" w:rsidR="00AA351D" w:rsidRPr="008757EA" w:rsidRDefault="00AA351D" w:rsidP="003A0796">
      <w:pPr>
        <w:jc w:val="both"/>
        <w:rPr>
          <w:rFonts w:ascii="Avalon" w:hAnsi="Avalon" w:cs="Arial"/>
        </w:rPr>
      </w:pPr>
    </w:p>
    <w:p w14:paraId="1B6F9047" w14:textId="77777777" w:rsidR="0064004D" w:rsidRPr="008757EA" w:rsidRDefault="0064004D" w:rsidP="0064004D">
      <w:pPr>
        <w:jc w:val="both"/>
        <w:rPr>
          <w:rFonts w:ascii="Avalon" w:hAnsi="Avalon"/>
        </w:rPr>
      </w:pPr>
      <w:r w:rsidRPr="008757EA">
        <w:rPr>
          <w:rFonts w:ascii="Avalon" w:hAnsi="Avalon"/>
        </w:rPr>
        <w:t>Idem point E.</w:t>
      </w:r>
    </w:p>
    <w:p w14:paraId="2D59005E" w14:textId="77777777" w:rsidR="00AA351D" w:rsidRPr="008757EA" w:rsidRDefault="00AA351D" w:rsidP="00AA351D">
      <w:pPr>
        <w:rPr>
          <w:rFonts w:ascii="Avalon" w:hAnsi="Avalon" w:cs="Arial"/>
        </w:rPr>
      </w:pPr>
    </w:p>
    <w:p w14:paraId="188688FD" w14:textId="4F62DAF9" w:rsidR="003A0796" w:rsidRPr="008757EA" w:rsidRDefault="00AA351D" w:rsidP="0075774B">
      <w:pPr>
        <w:pStyle w:val="Titre1"/>
        <w:jc w:val="both"/>
        <w:rPr>
          <w:rFonts w:ascii="Avalon" w:hAnsi="Avalon" w:cs="Times New Roman"/>
        </w:rPr>
      </w:pPr>
      <w:bookmarkStart w:id="33" w:name="_Toc105689535"/>
      <w:r w:rsidRPr="008757EA">
        <w:rPr>
          <w:rFonts w:ascii="Avalon" w:hAnsi="Avalon" w:cs="Times New Roman"/>
        </w:rPr>
        <w:t xml:space="preserve">9. </w:t>
      </w:r>
      <w:r w:rsidR="003A0796" w:rsidRPr="008757EA">
        <w:rPr>
          <w:rFonts w:ascii="Avalon" w:hAnsi="Avalon" w:cs="Times New Roman"/>
        </w:rPr>
        <w:t xml:space="preserve">Article D. 533-16-1, III, 7° - Informations sur la stratégie d’alignement de </w:t>
      </w:r>
      <w:r w:rsidR="00132FFE" w:rsidRPr="008757EA">
        <w:rPr>
          <w:rFonts w:ascii="Avalon" w:hAnsi="Avalon" w:cs="Times New Roman"/>
        </w:rPr>
        <w:t>la Société de gestion</w:t>
      </w:r>
      <w:r w:rsidR="003A0796" w:rsidRPr="008757EA">
        <w:rPr>
          <w:rFonts w:ascii="Avalon" w:hAnsi="Avalon" w:cs="Times New Roman"/>
        </w:rPr>
        <w:t xml:space="preserve"> avec les objectifs à long terme liés à la biodiversité</w:t>
      </w:r>
      <w:bookmarkEnd w:id="33"/>
      <w:r w:rsidR="003A0796" w:rsidRPr="008757EA">
        <w:rPr>
          <w:rFonts w:ascii="Avalon" w:hAnsi="Avalon" w:cs="Times New Roman"/>
        </w:rPr>
        <w:t xml:space="preserve">  </w:t>
      </w:r>
    </w:p>
    <w:p w14:paraId="66C7B811" w14:textId="77777777" w:rsidR="00AA351D" w:rsidRPr="008757EA" w:rsidRDefault="00AA351D" w:rsidP="003A0796">
      <w:pPr>
        <w:jc w:val="both"/>
        <w:rPr>
          <w:rFonts w:ascii="Avalon" w:hAnsi="Avalon" w:cs="Arial"/>
          <w:b/>
          <w:bCs/>
          <w:i/>
          <w:iCs/>
          <w:color w:val="002060"/>
        </w:rPr>
      </w:pPr>
    </w:p>
    <w:p w14:paraId="686130A7" w14:textId="7CE5200E" w:rsidR="0075774B" w:rsidRPr="008757EA" w:rsidRDefault="003A0796" w:rsidP="001C0F0F">
      <w:pPr>
        <w:pStyle w:val="T2modleAGAMA"/>
        <w:numPr>
          <w:ilvl w:val="0"/>
          <w:numId w:val="22"/>
        </w:numPr>
        <w:rPr>
          <w:rFonts w:ascii="Avalon" w:hAnsi="Avalon"/>
        </w:rPr>
      </w:pPr>
      <w:bookmarkStart w:id="34" w:name="_Toc105689536"/>
      <w:r w:rsidRPr="008757EA">
        <w:rPr>
          <w:rFonts w:ascii="Avalon" w:hAnsi="Avalon"/>
        </w:rPr>
        <w:t>Article D. 533-16-1, III, 7°, a – Mesure du respect des objectifs figurant dans la Convention sur la diversité biologique adoptée le 5 juin 1992</w:t>
      </w:r>
      <w:bookmarkEnd w:id="34"/>
    </w:p>
    <w:p w14:paraId="44F5A775" w14:textId="77777777" w:rsidR="0075774B" w:rsidRPr="008757EA" w:rsidRDefault="0075774B" w:rsidP="003A0796">
      <w:pPr>
        <w:jc w:val="both"/>
        <w:rPr>
          <w:rFonts w:ascii="Avalon" w:hAnsi="Avalon" w:cs="Arial"/>
        </w:rPr>
      </w:pPr>
    </w:p>
    <w:p w14:paraId="6C63A8DF" w14:textId="3856F1CA" w:rsidR="005648ED" w:rsidRPr="008757EA" w:rsidRDefault="0064004D" w:rsidP="005648ED">
      <w:pPr>
        <w:jc w:val="both"/>
        <w:rPr>
          <w:rFonts w:ascii="Avalon" w:hAnsi="Avalon"/>
        </w:rPr>
      </w:pPr>
      <w:r w:rsidRPr="008757EA">
        <w:rPr>
          <w:rFonts w:ascii="Avalon" w:hAnsi="Avalon"/>
        </w:rPr>
        <w:t>Non applicable à ce jour.</w:t>
      </w:r>
    </w:p>
    <w:p w14:paraId="6F65EF22" w14:textId="77777777" w:rsidR="003A0796" w:rsidRPr="008757EA" w:rsidRDefault="003A0796" w:rsidP="003A0796">
      <w:pPr>
        <w:jc w:val="both"/>
        <w:rPr>
          <w:rFonts w:ascii="Avalon" w:hAnsi="Avalon" w:cs="Arial"/>
          <w:b/>
          <w:bCs/>
          <w:i/>
          <w:iCs/>
          <w:color w:val="002060"/>
        </w:rPr>
      </w:pPr>
    </w:p>
    <w:p w14:paraId="3493E842" w14:textId="77777777" w:rsidR="003A0796" w:rsidRPr="008757EA" w:rsidRDefault="003A0796" w:rsidP="00DF35FA">
      <w:pPr>
        <w:pStyle w:val="T2modleAGAMA"/>
        <w:rPr>
          <w:rFonts w:ascii="Avalon" w:hAnsi="Avalon"/>
        </w:rPr>
      </w:pPr>
      <w:bookmarkStart w:id="35" w:name="_Toc105689537"/>
      <w:r w:rsidRPr="008757EA">
        <w:rPr>
          <w:rFonts w:ascii="Avalon" w:hAnsi="Avalon"/>
        </w:rPr>
        <w:t>Article D. 533-16-1, III, 7°, b et c – Analyse de la contribution à la réduction des principales pressions et impacts sur la biodiversité – Mention de l’appui sur un indicateur d’empreinte biodiversité</w:t>
      </w:r>
      <w:bookmarkEnd w:id="35"/>
    </w:p>
    <w:p w14:paraId="13B1E8D3" w14:textId="77777777" w:rsidR="0075774B" w:rsidRPr="008757EA" w:rsidRDefault="0075774B" w:rsidP="003A0796">
      <w:pPr>
        <w:jc w:val="both"/>
        <w:rPr>
          <w:rFonts w:ascii="Avalon" w:hAnsi="Avalon" w:cs="Arial"/>
        </w:rPr>
      </w:pPr>
    </w:p>
    <w:p w14:paraId="184A6658" w14:textId="6B3C20A5" w:rsidR="003A0796" w:rsidRPr="008757EA" w:rsidRDefault="0064004D" w:rsidP="003A0796">
      <w:pPr>
        <w:rPr>
          <w:rFonts w:ascii="Avalon" w:hAnsi="Avalon"/>
        </w:rPr>
      </w:pPr>
      <w:r w:rsidRPr="008757EA">
        <w:rPr>
          <w:rFonts w:ascii="Avalon" w:hAnsi="Avalon"/>
        </w:rPr>
        <w:t>Non applicable à ce jour.</w:t>
      </w:r>
    </w:p>
    <w:p w14:paraId="7CBD37E6" w14:textId="77777777" w:rsidR="0064004D" w:rsidRPr="008757EA" w:rsidRDefault="0064004D" w:rsidP="003A0796">
      <w:pPr>
        <w:rPr>
          <w:rFonts w:ascii="Avalon" w:hAnsi="Avalon" w:cs="Arial"/>
        </w:rPr>
      </w:pPr>
    </w:p>
    <w:p w14:paraId="79450B97" w14:textId="204BA6F2" w:rsidR="003A0796" w:rsidRPr="008757EA" w:rsidRDefault="00DF35FA" w:rsidP="00DE062A">
      <w:pPr>
        <w:pStyle w:val="Titre1"/>
        <w:jc w:val="both"/>
        <w:rPr>
          <w:rFonts w:ascii="Avalon" w:hAnsi="Avalon" w:cs="Times New Roman"/>
        </w:rPr>
      </w:pPr>
      <w:bookmarkStart w:id="36" w:name="_Toc105689538"/>
      <w:r w:rsidRPr="008757EA">
        <w:rPr>
          <w:rFonts w:ascii="Avalon" w:hAnsi="Avalon" w:cs="Times New Roman"/>
        </w:rPr>
        <w:t>10</w:t>
      </w:r>
      <w:r w:rsidR="00DE062A" w:rsidRPr="008757EA">
        <w:rPr>
          <w:rFonts w:ascii="Avalon" w:hAnsi="Avalon" w:cs="Times New Roman"/>
        </w:rPr>
        <w:t xml:space="preserve">. </w:t>
      </w:r>
      <w:r w:rsidR="003A0796" w:rsidRPr="008757EA">
        <w:rPr>
          <w:rFonts w:ascii="Avalon" w:hAnsi="Avalon" w:cs="Times New Roman"/>
        </w:rPr>
        <w:t>Article D. 533-16-1, III, 8° - Informations sur les démarches de prise en compte des critères ESG dans la gestion des risques</w:t>
      </w:r>
      <w:bookmarkEnd w:id="36"/>
    </w:p>
    <w:p w14:paraId="00826C05" w14:textId="77777777" w:rsidR="0075774B" w:rsidRPr="008757EA" w:rsidRDefault="0075774B" w:rsidP="003A0796">
      <w:pPr>
        <w:jc w:val="both"/>
        <w:rPr>
          <w:rFonts w:ascii="Avalon" w:hAnsi="Avalon" w:cs="Arial"/>
          <w:b/>
          <w:bCs/>
          <w:i/>
          <w:iCs/>
          <w:color w:val="002060"/>
        </w:rPr>
      </w:pPr>
    </w:p>
    <w:p w14:paraId="68DAA6F3" w14:textId="2E548B7D" w:rsidR="003A0796" w:rsidRPr="008757EA" w:rsidRDefault="003A0796" w:rsidP="001C0F0F">
      <w:pPr>
        <w:pStyle w:val="T2modleAGAMA"/>
        <w:numPr>
          <w:ilvl w:val="0"/>
          <w:numId w:val="21"/>
        </w:numPr>
        <w:rPr>
          <w:rFonts w:ascii="Avalon" w:hAnsi="Avalon"/>
        </w:rPr>
      </w:pPr>
      <w:bookmarkStart w:id="37" w:name="_Toc105689539"/>
      <w:r w:rsidRPr="008757EA">
        <w:rPr>
          <w:rFonts w:ascii="Avalon" w:hAnsi="Avalon"/>
        </w:rPr>
        <w:t xml:space="preserve">Article D. 533-16-1, III, 8°, a – Description du processus d’identification, d’évaluation, de priorisation et de gestion des risques liés à la prise en compte des critères ESG, la manière dont ils sont intégrés au cadre conventionnel de la gestion des risques de </w:t>
      </w:r>
      <w:r w:rsidR="00132FFE" w:rsidRPr="008757EA">
        <w:rPr>
          <w:rFonts w:ascii="Avalon" w:hAnsi="Avalon"/>
        </w:rPr>
        <w:t>la Société de gestion</w:t>
      </w:r>
      <w:r w:rsidRPr="008757EA">
        <w:rPr>
          <w:rFonts w:ascii="Avalon" w:hAnsi="Avalon"/>
        </w:rPr>
        <w:t xml:space="preserve"> et la manière dont ce processus répond aux recommandations des autorités européennes de surveillance</w:t>
      </w:r>
      <w:bookmarkEnd w:id="37"/>
      <w:r w:rsidRPr="008757EA">
        <w:rPr>
          <w:rFonts w:ascii="Avalon" w:hAnsi="Avalon"/>
        </w:rPr>
        <w:t xml:space="preserve"> </w:t>
      </w:r>
    </w:p>
    <w:p w14:paraId="37FB1426" w14:textId="77777777" w:rsidR="0075774B" w:rsidRPr="008757EA" w:rsidRDefault="0075774B" w:rsidP="003A0796">
      <w:pPr>
        <w:jc w:val="both"/>
        <w:rPr>
          <w:rFonts w:ascii="Avalon" w:hAnsi="Avalon" w:cs="Arial"/>
          <w:color w:val="000000"/>
          <w:shd w:val="clear" w:color="auto" w:fill="FFFFFF"/>
        </w:rPr>
      </w:pPr>
    </w:p>
    <w:p w14:paraId="69B356F5" w14:textId="77777777" w:rsidR="00E35157" w:rsidRPr="008757EA" w:rsidRDefault="00E35157" w:rsidP="00E35157">
      <w:pPr>
        <w:jc w:val="both"/>
        <w:rPr>
          <w:rFonts w:ascii="Avalon" w:hAnsi="Avalon"/>
          <w:sz w:val="20"/>
          <w:szCs w:val="20"/>
        </w:rPr>
      </w:pPr>
      <w:r w:rsidRPr="008757EA">
        <w:rPr>
          <w:rFonts w:ascii="Avalon" w:hAnsi="Avalon"/>
          <w:sz w:val="20"/>
          <w:szCs w:val="20"/>
        </w:rPr>
        <w:t>Les critères ESG seront pris en compte tout au long du cycle d’investissement. Nous veillons notamment à ce que l’ensemble de nos participations respecte les normes et réglementations qui leur sont applicables.</w:t>
      </w:r>
    </w:p>
    <w:p w14:paraId="201BE805" w14:textId="77777777" w:rsidR="00E35157" w:rsidRPr="008757EA" w:rsidRDefault="00E35157" w:rsidP="00E35157">
      <w:pPr>
        <w:widowControl w:val="0"/>
        <w:tabs>
          <w:tab w:val="left" w:pos="1083"/>
        </w:tabs>
        <w:autoSpaceDE w:val="0"/>
        <w:autoSpaceDN w:val="0"/>
        <w:spacing w:before="1"/>
        <w:ind w:right="114"/>
        <w:jc w:val="both"/>
        <w:rPr>
          <w:rFonts w:ascii="Avalon" w:eastAsia="Verdana" w:hAnsi="Avalon" w:cs="Verdana"/>
          <w:sz w:val="20"/>
          <w:szCs w:val="20"/>
        </w:rPr>
      </w:pPr>
    </w:p>
    <w:p w14:paraId="69A0DAAF" w14:textId="77777777" w:rsidR="00E35157" w:rsidRPr="008757EA" w:rsidRDefault="00E35157" w:rsidP="00E35157">
      <w:pPr>
        <w:widowControl w:val="0"/>
        <w:numPr>
          <w:ilvl w:val="0"/>
          <w:numId w:val="25"/>
        </w:numPr>
        <w:autoSpaceDE w:val="0"/>
        <w:autoSpaceDN w:val="0"/>
        <w:spacing w:before="123"/>
        <w:ind w:right="119"/>
        <w:contextualSpacing/>
        <w:jc w:val="both"/>
        <w:rPr>
          <w:rFonts w:ascii="Avalon" w:eastAsia="Calibri" w:hAnsi="Avalon" w:cs="Calibri"/>
          <w:sz w:val="20"/>
          <w:szCs w:val="20"/>
        </w:rPr>
      </w:pPr>
      <w:r w:rsidRPr="008757EA">
        <w:rPr>
          <w:rFonts w:ascii="Avalon" w:eastAsia="Calibri" w:hAnsi="Avalon" w:cs="Calibri"/>
          <w:sz w:val="20"/>
          <w:szCs w:val="20"/>
        </w:rPr>
        <w:t>Lors du processus d’investissement</w:t>
      </w:r>
    </w:p>
    <w:p w14:paraId="5AF267BB" w14:textId="77777777" w:rsidR="00E35157" w:rsidRPr="008757EA" w:rsidRDefault="00E35157" w:rsidP="00E35157">
      <w:pPr>
        <w:widowControl w:val="0"/>
        <w:autoSpaceDE w:val="0"/>
        <w:autoSpaceDN w:val="0"/>
        <w:spacing w:before="123"/>
        <w:ind w:left="1082" w:right="119"/>
        <w:contextualSpacing/>
        <w:jc w:val="both"/>
        <w:rPr>
          <w:rFonts w:ascii="Avalon" w:eastAsia="Calibri" w:hAnsi="Avalon" w:cs="Calibri"/>
          <w:sz w:val="20"/>
          <w:szCs w:val="20"/>
        </w:rPr>
      </w:pPr>
    </w:p>
    <w:p w14:paraId="208249F3" w14:textId="77777777" w:rsidR="00E35157" w:rsidRPr="008757EA" w:rsidRDefault="00E35157" w:rsidP="00E35157">
      <w:pPr>
        <w:jc w:val="both"/>
        <w:rPr>
          <w:rFonts w:ascii="Avalon" w:hAnsi="Avalon"/>
          <w:sz w:val="20"/>
          <w:szCs w:val="20"/>
        </w:rPr>
      </w:pPr>
      <w:r w:rsidRPr="008757EA">
        <w:rPr>
          <w:rFonts w:ascii="Avalon" w:hAnsi="Avalon"/>
          <w:sz w:val="20"/>
          <w:szCs w:val="20"/>
        </w:rPr>
        <w:t>En amont de l’investissement dans une nouvelle participation, le responsable d’investissement demande systématiquement à la société cible de fournir, si elle existe, sa charte/politique « ESG », ou à défaut se renseigne sur les différents éléments mis en place dans cette optique. Il est également demandé à la société cible de compléter un questionnaire afin d’établir un état des lieux de leur politique en matière ESG et de matérialiser leur risque climatique, et ce afin de proposer certains points d’amélioration en matière ESG.</w:t>
      </w:r>
    </w:p>
    <w:p w14:paraId="415BC106" w14:textId="77777777" w:rsidR="00E35157" w:rsidRPr="008757EA" w:rsidRDefault="00E35157" w:rsidP="00E35157">
      <w:pPr>
        <w:jc w:val="both"/>
        <w:rPr>
          <w:rFonts w:ascii="Avalon" w:hAnsi="Avalon"/>
          <w:sz w:val="20"/>
          <w:szCs w:val="20"/>
        </w:rPr>
      </w:pPr>
      <w:r w:rsidRPr="008757EA">
        <w:rPr>
          <w:rFonts w:ascii="Avalon" w:hAnsi="Avalon"/>
          <w:sz w:val="20"/>
          <w:szCs w:val="20"/>
        </w:rPr>
        <w:t>Alven demande, par le biais de l’insertion de clauses spécifiques dans les « </w:t>
      </w:r>
      <w:proofErr w:type="spellStart"/>
      <w:r w:rsidRPr="008757EA">
        <w:rPr>
          <w:rFonts w:ascii="Avalon" w:hAnsi="Avalon"/>
          <w:sz w:val="20"/>
          <w:szCs w:val="20"/>
        </w:rPr>
        <w:t>term</w:t>
      </w:r>
      <w:proofErr w:type="spellEnd"/>
      <w:r w:rsidRPr="008757EA">
        <w:rPr>
          <w:rFonts w:ascii="Avalon" w:hAnsi="Avalon"/>
          <w:sz w:val="20"/>
          <w:szCs w:val="20"/>
        </w:rPr>
        <w:t xml:space="preserve"> </w:t>
      </w:r>
      <w:proofErr w:type="spellStart"/>
      <w:r w:rsidRPr="008757EA">
        <w:rPr>
          <w:rFonts w:ascii="Avalon" w:hAnsi="Avalon"/>
          <w:sz w:val="20"/>
          <w:szCs w:val="20"/>
        </w:rPr>
        <w:t>sheet</w:t>
      </w:r>
      <w:proofErr w:type="spellEnd"/>
      <w:r w:rsidRPr="008757EA">
        <w:rPr>
          <w:rFonts w:ascii="Avalon" w:hAnsi="Avalon"/>
          <w:sz w:val="20"/>
          <w:szCs w:val="20"/>
        </w:rPr>
        <w:t xml:space="preserve"> » et les pactes d’actionnaires, aux nouvelles sociétés entrant dans son portefeuille de s’engager à effectuer un bilan carbone ou équivalent dès lors qu’elle atteindrait le seuil de plus de 30 salariés. </w:t>
      </w:r>
    </w:p>
    <w:p w14:paraId="7808E389" w14:textId="77777777" w:rsidR="00E35157" w:rsidRPr="008757EA" w:rsidRDefault="00E35157" w:rsidP="00E35157">
      <w:pPr>
        <w:widowControl w:val="0"/>
        <w:autoSpaceDE w:val="0"/>
        <w:autoSpaceDN w:val="0"/>
        <w:spacing w:before="123"/>
        <w:ind w:right="119"/>
        <w:jc w:val="both"/>
        <w:rPr>
          <w:rFonts w:ascii="Avalon" w:eastAsia="Calibri" w:hAnsi="Avalon" w:cs="Calibri"/>
          <w:sz w:val="20"/>
          <w:szCs w:val="20"/>
        </w:rPr>
      </w:pPr>
    </w:p>
    <w:p w14:paraId="080DEF3E" w14:textId="77777777" w:rsidR="00E35157" w:rsidRPr="008757EA" w:rsidRDefault="00E35157" w:rsidP="00E35157">
      <w:pPr>
        <w:widowControl w:val="0"/>
        <w:numPr>
          <w:ilvl w:val="0"/>
          <w:numId w:val="25"/>
        </w:numPr>
        <w:autoSpaceDE w:val="0"/>
        <w:autoSpaceDN w:val="0"/>
        <w:spacing w:before="123"/>
        <w:ind w:right="119"/>
        <w:contextualSpacing/>
        <w:jc w:val="both"/>
        <w:rPr>
          <w:rFonts w:ascii="Avalon" w:eastAsia="Calibri" w:hAnsi="Avalon" w:cs="Calibri"/>
          <w:sz w:val="20"/>
          <w:szCs w:val="20"/>
        </w:rPr>
      </w:pPr>
      <w:r w:rsidRPr="008757EA">
        <w:rPr>
          <w:rFonts w:ascii="Avalon" w:eastAsia="Calibri" w:hAnsi="Avalon" w:cs="Calibri"/>
          <w:sz w:val="20"/>
          <w:szCs w:val="20"/>
        </w:rPr>
        <w:t>Lors du suivi des participations</w:t>
      </w:r>
    </w:p>
    <w:p w14:paraId="199FC35D" w14:textId="77777777" w:rsidR="00E35157" w:rsidRPr="008757EA" w:rsidRDefault="00E35157" w:rsidP="00E35157">
      <w:pPr>
        <w:widowControl w:val="0"/>
        <w:autoSpaceDE w:val="0"/>
        <w:autoSpaceDN w:val="0"/>
        <w:spacing w:before="123"/>
        <w:ind w:left="1082" w:right="119"/>
        <w:contextualSpacing/>
        <w:jc w:val="both"/>
        <w:rPr>
          <w:rFonts w:ascii="Avalon" w:eastAsia="Calibri" w:hAnsi="Avalon" w:cs="Calibri"/>
          <w:sz w:val="20"/>
          <w:szCs w:val="20"/>
        </w:rPr>
      </w:pPr>
    </w:p>
    <w:p w14:paraId="21169636" w14:textId="77777777" w:rsidR="00E35157" w:rsidRPr="008757EA" w:rsidRDefault="00E35157" w:rsidP="00E35157">
      <w:pPr>
        <w:jc w:val="both"/>
        <w:rPr>
          <w:rFonts w:ascii="Avalon" w:hAnsi="Avalon"/>
          <w:sz w:val="20"/>
          <w:szCs w:val="20"/>
        </w:rPr>
      </w:pPr>
      <w:r w:rsidRPr="008757EA">
        <w:rPr>
          <w:rFonts w:ascii="Avalon" w:hAnsi="Avalon"/>
          <w:sz w:val="20"/>
          <w:szCs w:val="20"/>
        </w:rPr>
        <w:t xml:space="preserve">Chaque année, Alven sollicite la totalité des sociétés en portefeuille des différents fonds afin que ces dernières complètent le questionnaire « ESG » annuel établi en adéquation avec les demandes et recommandations des investisseurs et de France Invest. </w:t>
      </w:r>
    </w:p>
    <w:p w14:paraId="7A8D5DC5" w14:textId="77777777" w:rsidR="00E35157" w:rsidRPr="008757EA" w:rsidRDefault="00E35157" w:rsidP="00E35157">
      <w:pPr>
        <w:jc w:val="both"/>
        <w:rPr>
          <w:rFonts w:ascii="Avalon" w:hAnsi="Avalon"/>
          <w:sz w:val="20"/>
          <w:szCs w:val="20"/>
        </w:rPr>
      </w:pPr>
      <w:r w:rsidRPr="008757EA">
        <w:rPr>
          <w:rFonts w:ascii="Avalon" w:hAnsi="Avalon"/>
          <w:sz w:val="20"/>
          <w:szCs w:val="20"/>
        </w:rPr>
        <w:t>Les réponses au questionnaire sont analysées et font l’objet d’une notation afin de suivre l’évolution des différents critères tout au long de la durée de détention de la participation et synthétisées dans un rapport envoyé aux investisseurs : quatre thèmes sont pris en compte, la politique ESG générale, la politique environnementale, sociétale et la gouvernance. Chaque thème contient de 4 à 13 critères, pour lesquels une notation entre 1 et 4 est attribuée. Un multiple est appliqué pour les thèmes sur lesquels Alven porte une attention particulière, à savoir la mixité et la décarbonation.</w:t>
      </w:r>
    </w:p>
    <w:p w14:paraId="1C534BB3" w14:textId="77777777" w:rsidR="00E35157" w:rsidRPr="008757EA" w:rsidRDefault="00E35157" w:rsidP="00E35157">
      <w:pPr>
        <w:widowControl w:val="0"/>
        <w:autoSpaceDE w:val="0"/>
        <w:autoSpaceDN w:val="0"/>
        <w:spacing w:before="123"/>
        <w:ind w:left="1082" w:right="119"/>
        <w:contextualSpacing/>
        <w:jc w:val="both"/>
        <w:rPr>
          <w:rFonts w:ascii="Avalon" w:eastAsia="Calibri" w:hAnsi="Avalon" w:cs="Calibri"/>
          <w:sz w:val="20"/>
          <w:szCs w:val="20"/>
        </w:rPr>
      </w:pPr>
    </w:p>
    <w:p w14:paraId="428BD2B1" w14:textId="77777777" w:rsidR="00E35157" w:rsidRPr="008757EA" w:rsidRDefault="00E35157" w:rsidP="00E35157">
      <w:pPr>
        <w:widowControl w:val="0"/>
        <w:numPr>
          <w:ilvl w:val="0"/>
          <w:numId w:val="25"/>
        </w:numPr>
        <w:autoSpaceDE w:val="0"/>
        <w:autoSpaceDN w:val="0"/>
        <w:spacing w:before="123"/>
        <w:ind w:right="119"/>
        <w:contextualSpacing/>
        <w:jc w:val="both"/>
        <w:rPr>
          <w:rFonts w:ascii="Avalon" w:eastAsia="Calibri" w:hAnsi="Avalon" w:cs="Calibri"/>
          <w:sz w:val="20"/>
          <w:szCs w:val="20"/>
        </w:rPr>
      </w:pPr>
      <w:r w:rsidRPr="008757EA">
        <w:rPr>
          <w:rFonts w:ascii="Avalon" w:eastAsia="Calibri" w:hAnsi="Avalon" w:cs="Calibri"/>
          <w:sz w:val="20"/>
          <w:szCs w:val="20"/>
        </w:rPr>
        <w:t>Lors des échanges avec les participations</w:t>
      </w:r>
    </w:p>
    <w:p w14:paraId="091EA0C7" w14:textId="77777777" w:rsidR="00E35157" w:rsidRPr="008757EA" w:rsidRDefault="00E35157" w:rsidP="00E35157">
      <w:pPr>
        <w:widowControl w:val="0"/>
        <w:autoSpaceDE w:val="0"/>
        <w:autoSpaceDN w:val="0"/>
        <w:spacing w:before="123"/>
        <w:ind w:left="1082" w:right="119"/>
        <w:contextualSpacing/>
        <w:jc w:val="both"/>
        <w:rPr>
          <w:rFonts w:ascii="Avalon" w:eastAsia="Calibri" w:hAnsi="Avalon" w:cs="Calibri"/>
          <w:sz w:val="20"/>
          <w:szCs w:val="20"/>
        </w:rPr>
      </w:pPr>
    </w:p>
    <w:p w14:paraId="770AA8EA" w14:textId="77777777" w:rsidR="00E35157" w:rsidRPr="008757EA" w:rsidRDefault="00E35157" w:rsidP="00E35157">
      <w:pPr>
        <w:jc w:val="both"/>
        <w:rPr>
          <w:rFonts w:ascii="Avalon" w:hAnsi="Avalon"/>
          <w:sz w:val="20"/>
          <w:szCs w:val="20"/>
        </w:rPr>
      </w:pPr>
      <w:r w:rsidRPr="008757EA">
        <w:rPr>
          <w:rFonts w:ascii="Avalon" w:hAnsi="Avalon"/>
          <w:sz w:val="20"/>
          <w:szCs w:val="20"/>
        </w:rPr>
        <w:t>La proximité d’Alven à l’égard des entreprises qu’elle finance permet aux responsables d’investissements une implication particulière avec chaque entreprise suivie, avec notamment de fréquentes rencontres avec leurs dirigeants et la mise à l’ordre du jour des sujets ESG.</w:t>
      </w:r>
    </w:p>
    <w:p w14:paraId="2ADF2AD4" w14:textId="70A75867" w:rsidR="003A0796" w:rsidRPr="008757EA" w:rsidRDefault="003A0796" w:rsidP="003A0796">
      <w:pPr>
        <w:rPr>
          <w:rFonts w:ascii="Avalon" w:hAnsi="Avalon" w:cs="Arial"/>
        </w:rPr>
      </w:pPr>
    </w:p>
    <w:p w14:paraId="4E7AD4B7" w14:textId="4F57C0F0" w:rsidR="003A0796" w:rsidRPr="008757EA" w:rsidRDefault="00DE062A" w:rsidP="00DE062A">
      <w:pPr>
        <w:pStyle w:val="Titre1"/>
        <w:jc w:val="both"/>
        <w:rPr>
          <w:rFonts w:ascii="Avalon" w:hAnsi="Avalon" w:cs="Times New Roman"/>
        </w:rPr>
      </w:pPr>
      <w:bookmarkStart w:id="38" w:name="_Toc105689540"/>
      <w:r w:rsidRPr="008757EA">
        <w:rPr>
          <w:rFonts w:ascii="Avalon" w:hAnsi="Avalon" w:cs="Times New Roman"/>
        </w:rPr>
        <w:t>1</w:t>
      </w:r>
      <w:r w:rsidR="00DF35FA" w:rsidRPr="008757EA">
        <w:rPr>
          <w:rFonts w:ascii="Avalon" w:hAnsi="Avalon" w:cs="Times New Roman"/>
        </w:rPr>
        <w:t>1</w:t>
      </w:r>
      <w:r w:rsidRPr="008757EA">
        <w:rPr>
          <w:rFonts w:ascii="Avalon" w:hAnsi="Avalon" w:cs="Times New Roman"/>
        </w:rPr>
        <w:t xml:space="preserve">. </w:t>
      </w:r>
      <w:r w:rsidR="003A0796" w:rsidRPr="008757EA">
        <w:rPr>
          <w:rFonts w:ascii="Avalon" w:hAnsi="Avalon" w:cs="Times New Roman"/>
        </w:rPr>
        <w:t>Article L. 533-22-2-4 du code monétaire et financier – Parité</w:t>
      </w:r>
      <w:bookmarkEnd w:id="38"/>
      <w:r w:rsidR="003A0796" w:rsidRPr="008757EA">
        <w:rPr>
          <w:rFonts w:ascii="Avalon" w:hAnsi="Avalon" w:cs="Times New Roman"/>
        </w:rPr>
        <w:t xml:space="preserve"> </w:t>
      </w:r>
    </w:p>
    <w:p w14:paraId="7EBB4086" w14:textId="77777777" w:rsidR="0075774B" w:rsidRPr="008757EA" w:rsidRDefault="0075774B" w:rsidP="003A0796">
      <w:pPr>
        <w:jc w:val="both"/>
        <w:rPr>
          <w:rFonts w:ascii="Avalon" w:hAnsi="Avalon" w:cs="Arial"/>
        </w:rPr>
      </w:pPr>
    </w:p>
    <w:p w14:paraId="566DC9A2" w14:textId="7710EB59" w:rsidR="00CB5A98" w:rsidRPr="007F7503" w:rsidRDefault="00E35157" w:rsidP="00DE059F">
      <w:pPr>
        <w:jc w:val="both"/>
        <w:rPr>
          <w:rFonts w:ascii="Avalon" w:hAnsi="Avalon"/>
        </w:rPr>
      </w:pPr>
      <w:r w:rsidRPr="008757EA">
        <w:rPr>
          <w:rFonts w:ascii="Avalon" w:hAnsi="Avalon"/>
          <w:sz w:val="22"/>
          <w:szCs w:val="22"/>
        </w:rPr>
        <w:t>Alven est particulièrement attentif à s’approcher d’un meilleur équilibre entre les profils masculins / féminins des sociétés qu’elle finance. A ce jour, Alven a financé 15 sociétés dirigées, fondées ou co-fondées par des femmes et s’engage à horizon 2025 à accroître substantiellement ses nouveaux investissements ayant au moins une femme parmi les fondateurs, ainsi que le nombre de femmes au niveau des comités de direction de ses sociétés en portefeuille.</w:t>
      </w:r>
    </w:p>
    <w:sectPr w:rsidR="00CB5A98" w:rsidRPr="007F7503" w:rsidSect="00AB0105">
      <w:headerReference w:type="default" r:id="rId8"/>
      <w:footerReference w:type="default" r:id="rId9"/>
      <w:pgSz w:w="11906" w:h="16838"/>
      <w:pgMar w:top="1418" w:right="1418" w:bottom="1418" w:left="1140"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69DF" w14:textId="77777777" w:rsidR="00136C6A" w:rsidRDefault="00136C6A">
      <w:r>
        <w:separator/>
      </w:r>
    </w:p>
  </w:endnote>
  <w:endnote w:type="continuationSeparator" w:id="0">
    <w:p w14:paraId="216E3F78" w14:textId="77777777" w:rsidR="00136C6A" w:rsidRDefault="0013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panose1 w:val="020B0502020202020204"/>
    <w:charset w:val="00"/>
    <w:family w:val="swiss"/>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DD63" w14:textId="77E8C953" w:rsidR="002415D0" w:rsidRPr="002415D0" w:rsidRDefault="002415D0" w:rsidP="002415D0">
    <w:pPr>
      <w:pStyle w:val="Pieddepage"/>
      <w:jc w:val="right"/>
      <w:rPr>
        <w:rFonts w:ascii="Garamond" w:hAnsi="Garamond"/>
        <w:iCs/>
      </w:rPr>
    </w:pPr>
    <w:r w:rsidRPr="002415D0">
      <w:rPr>
        <w:rFonts w:ascii="Garamond" w:hAnsi="Garamond"/>
        <w:iCs/>
      </w:rPr>
      <w:t>Masque rapport Article 29 de la Loi Energie Climat</w:t>
    </w:r>
    <w:r w:rsidRPr="002415D0">
      <w:rPr>
        <w:rFonts w:ascii="Garamond" w:hAnsi="Garamond"/>
        <w:iCs/>
      </w:rPr>
      <w:tab/>
    </w:r>
    <w:sdt>
      <w:sdtPr>
        <w:rPr>
          <w:rFonts w:ascii="Garamond" w:hAnsi="Garamond"/>
          <w:iCs/>
        </w:rPr>
        <w:id w:val="171854375"/>
        <w:docPartObj>
          <w:docPartGallery w:val="Page Numbers (Bottom of Page)"/>
          <w:docPartUnique/>
        </w:docPartObj>
      </w:sdtPr>
      <w:sdtContent>
        <w:r w:rsidRPr="002415D0">
          <w:rPr>
            <w:rFonts w:ascii="Garamond" w:hAnsi="Garamond"/>
            <w:iCs/>
          </w:rPr>
          <w:fldChar w:fldCharType="begin"/>
        </w:r>
        <w:r w:rsidRPr="002415D0">
          <w:rPr>
            <w:rFonts w:ascii="Garamond" w:hAnsi="Garamond"/>
            <w:iCs/>
          </w:rPr>
          <w:instrText>PAGE   \* MERGEFORMAT</w:instrText>
        </w:r>
        <w:r w:rsidRPr="002415D0">
          <w:rPr>
            <w:rFonts w:ascii="Garamond" w:hAnsi="Garamond"/>
            <w:iCs/>
          </w:rPr>
          <w:fldChar w:fldCharType="separate"/>
        </w:r>
        <w:r w:rsidRPr="002415D0">
          <w:rPr>
            <w:rFonts w:ascii="Garamond" w:hAnsi="Garamond"/>
            <w:iCs/>
          </w:rPr>
          <w:t>2</w:t>
        </w:r>
        <w:r w:rsidRPr="002415D0">
          <w:rPr>
            <w:rFonts w:ascii="Garamond" w:hAnsi="Garamond"/>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8B70" w14:textId="77777777" w:rsidR="00136C6A" w:rsidRDefault="00136C6A">
      <w:r>
        <w:separator/>
      </w:r>
    </w:p>
  </w:footnote>
  <w:footnote w:type="continuationSeparator" w:id="0">
    <w:p w14:paraId="44BA2BF8" w14:textId="77777777" w:rsidR="00136C6A" w:rsidRDefault="0013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661A" w14:textId="1DC1521D" w:rsidR="00975E7E" w:rsidRPr="00776548" w:rsidRDefault="00CF0113" w:rsidP="000549A5">
    <w:pPr>
      <w:pStyle w:val="En-tte"/>
      <w:rPr>
        <w:rFonts w:ascii="Garamond" w:hAnsi="Garamond"/>
      </w:rPr>
    </w:pPr>
    <w:r>
      <w:rPr>
        <w:rFonts w:ascii="Arial" w:hAnsi="Arial" w:cs="Arial"/>
        <w:noProof/>
        <w:color w:val="000000"/>
      </w:rPr>
      <w:drawing>
        <wp:inline distT="0" distB="0" distL="0" distR="0" wp14:anchorId="1C77D9E9" wp14:editId="3CEF7C0A">
          <wp:extent cx="1111250" cy="806450"/>
          <wp:effectExtent l="0" t="0" r="0" b="0"/>
          <wp:docPr id="8" name="Image 8" descr="https://lh4.googleusercontent.com/g9lIwMoN94bvJp7I5GgjOtc8G40laHBib2Vb8Zeoqx9GUgsoWdocw0v34oebsCXQlq__fgckHKocMr1MN3UjAtBnl7USgtv6Nv4GHBxYIf91DQOPIt_mS3eHnqBu-BRCCIpay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9lIwMoN94bvJp7I5GgjOtc8G40laHBib2Vb8Zeoqx9GUgsoWdocw0v34oebsCXQlq__fgckHKocMr1MN3UjAtBnl7USgtv6Nv4GHBxYIf91DQOPIt_mS3eHnqBu-BRCCIpay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806450"/>
                  </a:xfrm>
                  <a:prstGeom prst="rect">
                    <a:avLst/>
                  </a:prstGeom>
                  <a:noFill/>
                  <a:ln>
                    <a:noFill/>
                  </a:ln>
                </pic:spPr>
              </pic:pic>
            </a:graphicData>
          </a:graphic>
        </wp:inline>
      </w:drawing>
    </w:r>
    <w:r w:rsidR="00975E7E">
      <w:rPr>
        <w:rFonts w:ascii="Garamond" w:hAnsi="Garamond"/>
        <w:noProof/>
      </w:rPr>
      <mc:AlternateContent>
        <mc:Choice Requires="wpg">
          <w:drawing>
            <wp:anchor distT="0" distB="0" distL="114300" distR="114300" simplePos="0" relativeHeight="251659264" behindDoc="0" locked="0" layoutInCell="1" allowOverlap="1" wp14:anchorId="126D28C7" wp14:editId="13903155">
              <wp:simplePos x="0" y="0"/>
              <wp:positionH relativeFrom="column">
                <wp:posOffset>6284595</wp:posOffset>
              </wp:positionH>
              <wp:positionV relativeFrom="paragraph">
                <wp:posOffset>635</wp:posOffset>
              </wp:positionV>
              <wp:extent cx="353695" cy="9486900"/>
              <wp:effectExtent l="0" t="0" r="27305" b="1905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9486900"/>
                        <a:chOff x="11257" y="877"/>
                        <a:chExt cx="557" cy="14940"/>
                      </a:xfrm>
                    </wpg:grpSpPr>
                    <wps:wsp>
                      <wps:cNvPr id="6" name="Rectangle 21"/>
                      <wps:cNvSpPr>
                        <a:spLocks noChangeArrowheads="1"/>
                      </wps:cNvSpPr>
                      <wps:spPr bwMode="auto">
                        <a:xfrm>
                          <a:off x="11257" y="877"/>
                          <a:ext cx="540" cy="3961"/>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DDDDDD"/>
                              </a:solidFill>
                            </a14:hiddenFill>
                          </a:ext>
                        </a:extLst>
                      </wps:spPr>
                      <wps:txbx>
                        <w:txbxContent>
                          <w:p w14:paraId="1BDA7546" w14:textId="77777777" w:rsidR="00975E7E" w:rsidRPr="00171EB1" w:rsidRDefault="00975E7E" w:rsidP="002C3ECB">
                            <w:pPr>
                              <w:jc w:val="center"/>
                              <w:rPr>
                                <w:rFonts w:ascii="Garamond" w:hAnsi="Garamond"/>
                                <w:color w:val="FFFFFF"/>
                                <w:sz w:val="22"/>
                                <w:szCs w:val="22"/>
                              </w:rPr>
                            </w:pPr>
                            <w:r w:rsidRPr="000D39D9">
                              <w:rPr>
                                <w:rFonts w:ascii="Garamond" w:hAnsi="Garamond"/>
                                <w:color w:val="C0C0C0"/>
                                <w:sz w:val="22"/>
                                <w:szCs w:val="22"/>
                              </w:rPr>
                              <w:t>Organisation et vie de la société de gestion</w:t>
                            </w:r>
                          </w:p>
                          <w:p w14:paraId="26D1D161" w14:textId="77777777" w:rsidR="00975E7E" w:rsidRPr="000D39D9" w:rsidRDefault="00975E7E" w:rsidP="002C3ECB">
                            <w:pPr>
                              <w:rPr>
                                <w:szCs w:val="20"/>
                              </w:rPr>
                            </w:pPr>
                          </w:p>
                        </w:txbxContent>
                      </wps:txbx>
                      <wps:bodyPr rot="0" vert="vert270" wrap="square" lIns="91440" tIns="45720" rIns="91440" bIns="45720" anchor="t" anchorCtr="0" upright="1">
                        <a:noAutofit/>
                      </wps:bodyPr>
                    </wps:wsp>
                    <wps:wsp>
                      <wps:cNvPr id="31" name="Rectangle 22"/>
                      <wps:cNvSpPr>
                        <a:spLocks noChangeArrowheads="1"/>
                      </wps:cNvSpPr>
                      <wps:spPr bwMode="auto">
                        <a:xfrm>
                          <a:off x="11257" y="5017"/>
                          <a:ext cx="540" cy="288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DDDDDD"/>
                              </a:solidFill>
                            </a14:hiddenFill>
                          </a:ext>
                        </a:extLst>
                      </wps:spPr>
                      <wps:txbx>
                        <w:txbxContent>
                          <w:p w14:paraId="5A5A2CA3" w14:textId="77777777" w:rsidR="00975E7E" w:rsidRPr="00F60EBF" w:rsidRDefault="00975E7E" w:rsidP="002C3ECB">
                            <w:pPr>
                              <w:jc w:val="center"/>
                              <w:rPr>
                                <w:rFonts w:ascii="Garamond" w:hAnsi="Garamond"/>
                                <w:color w:val="C0C0C0"/>
                                <w:sz w:val="22"/>
                                <w:szCs w:val="22"/>
                              </w:rPr>
                            </w:pPr>
                            <w:r w:rsidRPr="00F60EBF">
                              <w:rPr>
                                <w:rFonts w:ascii="Garamond" w:hAnsi="Garamond"/>
                                <w:color w:val="C0C0C0"/>
                                <w:sz w:val="22"/>
                                <w:szCs w:val="22"/>
                              </w:rPr>
                              <w:t>Gestion financière</w:t>
                            </w:r>
                          </w:p>
                        </w:txbxContent>
                      </wps:txbx>
                      <wps:bodyPr rot="0" vert="vert270" wrap="square" lIns="91440" tIns="45720" rIns="91440" bIns="45720" anchor="t" anchorCtr="0" upright="1">
                        <a:noAutofit/>
                      </wps:bodyPr>
                    </wps:wsp>
                    <wps:wsp>
                      <wps:cNvPr id="32" name="Rectangle 23"/>
                      <wps:cNvSpPr>
                        <a:spLocks noChangeArrowheads="1"/>
                      </wps:cNvSpPr>
                      <wps:spPr bwMode="auto">
                        <a:xfrm>
                          <a:off x="11257" y="8077"/>
                          <a:ext cx="540" cy="3060"/>
                        </a:xfrm>
                        <a:prstGeom prst="rect">
                          <a:avLst/>
                        </a:prstGeom>
                        <a:solidFill>
                          <a:srgbClr val="000080"/>
                        </a:solidFill>
                        <a:ln w="9525">
                          <a:solidFill>
                            <a:srgbClr val="FFFFFF"/>
                          </a:solidFill>
                          <a:miter lim="800000"/>
                          <a:headEnd/>
                          <a:tailEnd/>
                        </a:ln>
                      </wps:spPr>
                      <wps:txbx>
                        <w:txbxContent>
                          <w:p w14:paraId="506F3E1C" w14:textId="77777777" w:rsidR="00975E7E" w:rsidRPr="00171EB1" w:rsidRDefault="00975E7E" w:rsidP="002C3ECB">
                            <w:pPr>
                              <w:jc w:val="center"/>
                              <w:rPr>
                                <w:rFonts w:ascii="Garamond" w:hAnsi="Garamond"/>
                                <w:color w:val="C0C0C0"/>
                                <w:sz w:val="22"/>
                                <w:szCs w:val="22"/>
                              </w:rPr>
                            </w:pPr>
                            <w:r w:rsidRPr="00171EB1">
                              <w:rPr>
                                <w:rFonts w:ascii="Garamond" w:hAnsi="Garamond"/>
                                <w:color w:val="C0C0C0"/>
                                <w:sz w:val="22"/>
                                <w:szCs w:val="22"/>
                              </w:rPr>
                              <w:t>Administration de la clientèle</w:t>
                            </w:r>
                          </w:p>
                          <w:p w14:paraId="56AE8A4B" w14:textId="77777777" w:rsidR="00975E7E" w:rsidRPr="00F60EBF" w:rsidRDefault="00975E7E" w:rsidP="002C3ECB">
                            <w:pPr>
                              <w:rPr>
                                <w:szCs w:val="22"/>
                              </w:rPr>
                            </w:pPr>
                          </w:p>
                        </w:txbxContent>
                      </wps:txbx>
                      <wps:bodyPr rot="0" vert="vert270" wrap="square" lIns="91440" tIns="45720" rIns="91440" bIns="45720" anchor="t" anchorCtr="0" upright="1">
                        <a:noAutofit/>
                      </wps:bodyPr>
                    </wps:wsp>
                    <wps:wsp>
                      <wps:cNvPr id="35" name="Rectangle 24"/>
                      <wps:cNvSpPr>
                        <a:spLocks noChangeArrowheads="1"/>
                      </wps:cNvSpPr>
                      <wps:spPr bwMode="auto">
                        <a:xfrm>
                          <a:off x="11257" y="11317"/>
                          <a:ext cx="557" cy="450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DDDDDD"/>
                              </a:solidFill>
                            </a14:hiddenFill>
                          </a:ext>
                        </a:extLst>
                      </wps:spPr>
                      <wps:txbx>
                        <w:txbxContent>
                          <w:p w14:paraId="00FC3C16" w14:textId="77777777" w:rsidR="00975E7E" w:rsidRPr="00DC5D64" w:rsidRDefault="00975E7E" w:rsidP="002C3ECB">
                            <w:pPr>
                              <w:jc w:val="center"/>
                              <w:rPr>
                                <w:rFonts w:ascii="Garamond" w:hAnsi="Garamond"/>
                                <w:color w:val="C0C0C0"/>
                                <w:sz w:val="22"/>
                                <w:szCs w:val="22"/>
                              </w:rPr>
                            </w:pPr>
                            <w:r w:rsidRPr="00DC5D64">
                              <w:rPr>
                                <w:rFonts w:ascii="Garamond" w:hAnsi="Garamond"/>
                                <w:color w:val="C0C0C0"/>
                                <w:sz w:val="22"/>
                                <w:szCs w:val="22"/>
                              </w:rPr>
                              <w:t>Bonne</w:t>
                            </w:r>
                            <w:r>
                              <w:rPr>
                                <w:rFonts w:ascii="Garamond" w:hAnsi="Garamond"/>
                                <w:color w:val="C0C0C0"/>
                                <w:sz w:val="22"/>
                                <w:szCs w:val="22"/>
                              </w:rPr>
                              <w:t xml:space="preserve"> </w:t>
                            </w:r>
                            <w:r w:rsidRPr="00DC5D64">
                              <w:rPr>
                                <w:rFonts w:ascii="Garamond" w:hAnsi="Garamond"/>
                                <w:color w:val="C0C0C0"/>
                                <w:sz w:val="22"/>
                                <w:szCs w:val="22"/>
                              </w:rPr>
                              <w:t>conduite, obligations professionnelles</w:t>
                            </w:r>
                          </w:p>
                        </w:txbxContent>
                      </wps:txbx>
                      <wps:bodyPr rot="0" vert="vert270"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6D28C7" id="Group 27" o:spid="_x0000_s1026" style="position:absolute;margin-left:494.85pt;margin-top:.05pt;width:27.85pt;height:747pt;z-index:251659264" coordorigin="11257,877" coordsize="557,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">
              <v:rect id="Rectangle 21" o:spid="_x0000_s1027" style="position:absolute;left:11257;top:877;width:540;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" filled="f" fillcolor="#ddd" strokecolor="#969696">
                <v:textbox style="layout-flow:vertical;mso-layout-flow-alt:bottom-to-top">
                  <w:txbxContent>
                    <w:p w14:paraId="1BDA7546" w14:textId="77777777" w:rsidR="00975E7E" w:rsidRPr="00171EB1" w:rsidRDefault="00975E7E" w:rsidP="002C3ECB">
                      <w:pPr>
                        <w:jc w:val="center"/>
                        <w:rPr>
                          <w:rFonts w:ascii="Garamond" w:hAnsi="Garamond"/>
                          <w:color w:val="FFFFFF"/>
                          <w:sz w:val="22"/>
                          <w:szCs w:val="22"/>
                        </w:rPr>
                      </w:pPr>
                      <w:r w:rsidRPr="000D39D9">
                        <w:rPr>
                          <w:rFonts w:ascii="Garamond" w:hAnsi="Garamond"/>
                          <w:color w:val="C0C0C0"/>
                          <w:sz w:val="22"/>
                          <w:szCs w:val="22"/>
                        </w:rPr>
                        <w:t>Organisation et vie de la société de gestion</w:t>
                      </w:r>
                    </w:p>
                    <w:p w14:paraId="26D1D161" w14:textId="77777777" w:rsidR="00975E7E" w:rsidRPr="000D39D9" w:rsidRDefault="00975E7E" w:rsidP="002C3ECB">
                      <w:pPr>
                        <w:rPr>
                          <w:szCs w:val="20"/>
                        </w:rPr>
                      </w:pPr>
                    </w:p>
                  </w:txbxContent>
                </v:textbox>
              </v:rect>
              <v:rect id="Rectangle 22" o:spid="_x0000_s1028" style="position:absolute;left:11257;top:5017;width:54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" filled="f" fillcolor="#ddd" strokecolor="#969696">
                <v:textbox style="layout-flow:vertical;mso-layout-flow-alt:bottom-to-top">
                  <w:txbxContent>
                    <w:p w14:paraId="5A5A2CA3" w14:textId="77777777" w:rsidR="00975E7E" w:rsidRPr="00F60EBF" w:rsidRDefault="00975E7E" w:rsidP="002C3ECB">
                      <w:pPr>
                        <w:jc w:val="center"/>
                        <w:rPr>
                          <w:rFonts w:ascii="Garamond" w:hAnsi="Garamond"/>
                          <w:color w:val="C0C0C0"/>
                          <w:sz w:val="22"/>
                          <w:szCs w:val="22"/>
                        </w:rPr>
                      </w:pPr>
                      <w:r w:rsidRPr="00F60EBF">
                        <w:rPr>
                          <w:rFonts w:ascii="Garamond" w:hAnsi="Garamond"/>
                          <w:color w:val="C0C0C0"/>
                          <w:sz w:val="22"/>
                          <w:szCs w:val="22"/>
                        </w:rPr>
                        <w:t>Gestion financière</w:t>
                      </w:r>
                    </w:p>
                  </w:txbxContent>
                </v:textbox>
              </v:rect>
              <v:rect id="Rectangle 23" o:spid="_x0000_s1029" style="position:absolute;left:11257;top:8077;width:5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" fillcolor="navy" strokecolor="white">
                <v:textbox style="layout-flow:vertical;mso-layout-flow-alt:bottom-to-top">
                  <w:txbxContent>
                    <w:p w14:paraId="506F3E1C" w14:textId="77777777" w:rsidR="00975E7E" w:rsidRPr="00171EB1" w:rsidRDefault="00975E7E" w:rsidP="002C3ECB">
                      <w:pPr>
                        <w:jc w:val="center"/>
                        <w:rPr>
                          <w:rFonts w:ascii="Garamond" w:hAnsi="Garamond"/>
                          <w:color w:val="C0C0C0"/>
                          <w:sz w:val="22"/>
                          <w:szCs w:val="22"/>
                        </w:rPr>
                      </w:pPr>
                      <w:r w:rsidRPr="00171EB1">
                        <w:rPr>
                          <w:rFonts w:ascii="Garamond" w:hAnsi="Garamond"/>
                          <w:color w:val="C0C0C0"/>
                          <w:sz w:val="22"/>
                          <w:szCs w:val="22"/>
                        </w:rPr>
                        <w:t>Administration de la clientèle</w:t>
                      </w:r>
                    </w:p>
                    <w:p w14:paraId="56AE8A4B" w14:textId="77777777" w:rsidR="00975E7E" w:rsidRPr="00F60EBF" w:rsidRDefault="00975E7E" w:rsidP="002C3ECB">
                      <w:pPr>
                        <w:rPr>
                          <w:szCs w:val="22"/>
                        </w:rPr>
                      </w:pPr>
                    </w:p>
                  </w:txbxContent>
                </v:textbox>
              </v:rect>
              <v:rect id="Rectangle 24" o:spid="_x0000_s1030" style="position:absolute;left:11257;top:11317;width:557;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" filled="f" fillcolor="#ddd" strokecolor="#969696">
                <v:textbox style="layout-flow:vertical;mso-layout-flow-alt:bottom-to-top;mso-fit-shape-to-text:t">
                  <w:txbxContent>
                    <w:p w14:paraId="00FC3C16" w14:textId="77777777" w:rsidR="00975E7E" w:rsidRPr="00DC5D64" w:rsidRDefault="00975E7E" w:rsidP="002C3ECB">
                      <w:pPr>
                        <w:jc w:val="center"/>
                        <w:rPr>
                          <w:rFonts w:ascii="Garamond" w:hAnsi="Garamond"/>
                          <w:color w:val="C0C0C0"/>
                          <w:sz w:val="22"/>
                          <w:szCs w:val="22"/>
                        </w:rPr>
                      </w:pPr>
                      <w:r w:rsidRPr="00DC5D64">
                        <w:rPr>
                          <w:rFonts w:ascii="Garamond" w:hAnsi="Garamond"/>
                          <w:color w:val="C0C0C0"/>
                          <w:sz w:val="22"/>
                          <w:szCs w:val="22"/>
                        </w:rPr>
                        <w:t>Bonne</w:t>
                      </w:r>
                      <w:r>
                        <w:rPr>
                          <w:rFonts w:ascii="Garamond" w:hAnsi="Garamond"/>
                          <w:color w:val="C0C0C0"/>
                          <w:sz w:val="22"/>
                          <w:szCs w:val="22"/>
                        </w:rPr>
                        <w:t xml:space="preserve"> </w:t>
                      </w:r>
                      <w:r w:rsidRPr="00DC5D64">
                        <w:rPr>
                          <w:rFonts w:ascii="Garamond" w:hAnsi="Garamond"/>
                          <w:color w:val="C0C0C0"/>
                          <w:sz w:val="22"/>
                          <w:szCs w:val="22"/>
                        </w:rPr>
                        <w:t>conduite, obligations professionnelles</w:t>
                      </w:r>
                    </w:p>
                  </w:txbxContent>
                </v:textbox>
              </v:rect>
            </v:group>
          </w:pict>
        </mc:Fallback>
      </mc:AlternateContent>
    </w:r>
    <w:r w:rsidR="00975E7E" w:rsidRPr="00CF39CC">
      <w:rPr>
        <w:rFonts w:ascii="Garamond" w:hAnsi="Garamond"/>
      </w:rPr>
      <w:tab/>
    </w:r>
    <w:r w:rsidR="00975E7E" w:rsidRPr="00CF39CC">
      <w:rPr>
        <w:rFonts w:ascii="Garamond" w:hAnsi="Garamond"/>
      </w:rPr>
      <w:tab/>
    </w:r>
    <w:r w:rsidR="00975E7E" w:rsidRPr="00961657">
      <w:rPr>
        <w:rFonts w:ascii="Garamond" w:hAnsi="Garamond"/>
        <w:noProof/>
      </w:rPr>
      <w:drawing>
        <wp:inline distT="0" distB="0" distL="0" distR="0" wp14:anchorId="13C173A6" wp14:editId="7F7E5E60">
          <wp:extent cx="942975" cy="590550"/>
          <wp:effectExtent l="0" t="0" r="9525" b="0"/>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A7"/>
    <w:multiLevelType w:val="hybridMultilevel"/>
    <w:tmpl w:val="94C23B96"/>
    <w:lvl w:ilvl="0" w:tplc="B51EDE1E">
      <w:start w:val="2"/>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6077A"/>
    <w:multiLevelType w:val="hybridMultilevel"/>
    <w:tmpl w:val="F608308E"/>
    <w:lvl w:ilvl="0" w:tplc="1A9ADD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23F54"/>
    <w:multiLevelType w:val="hybridMultilevel"/>
    <w:tmpl w:val="A5C870D8"/>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03494C"/>
    <w:multiLevelType w:val="hybridMultilevel"/>
    <w:tmpl w:val="F954A218"/>
    <w:lvl w:ilvl="0" w:tplc="0C30EE9E">
      <w:start w:val="1"/>
      <w:numFmt w:val="upp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18E1BBC"/>
    <w:multiLevelType w:val="hybridMultilevel"/>
    <w:tmpl w:val="845A18CA"/>
    <w:lvl w:ilvl="0" w:tplc="8FF05C44">
      <w:start w:val="1"/>
      <w:numFmt w:val="upperLetter"/>
      <w:lvlText w:val="%1."/>
      <w:lvlJc w:val="left"/>
      <w:pPr>
        <w:ind w:left="785"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CA52FA9"/>
    <w:multiLevelType w:val="hybridMultilevel"/>
    <w:tmpl w:val="5AF4A9D4"/>
    <w:lvl w:ilvl="0" w:tplc="573AD09C">
      <w:start w:val="1"/>
      <w:numFmt w:val="upperLetter"/>
      <w:pStyle w:val="titre2-ADVEN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DC66232"/>
    <w:multiLevelType w:val="hybridMultilevel"/>
    <w:tmpl w:val="C57E2476"/>
    <w:lvl w:ilvl="0" w:tplc="488C835E">
      <w:start w:val="1"/>
      <w:numFmt w:val="upperLetter"/>
      <w:pStyle w:val="T2modleAGAMA"/>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FF528F"/>
    <w:multiLevelType w:val="hybridMultilevel"/>
    <w:tmpl w:val="F392B254"/>
    <w:lvl w:ilvl="0" w:tplc="E47E772E">
      <w:start w:val="1"/>
      <w:numFmt w:val="decimal"/>
      <w:pStyle w:val="T3modleAGAMA"/>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2CE4C4B"/>
    <w:multiLevelType w:val="hybridMultilevel"/>
    <w:tmpl w:val="BE72D186"/>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786493E"/>
    <w:multiLevelType w:val="hybridMultilevel"/>
    <w:tmpl w:val="864EFB1E"/>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F07B7D"/>
    <w:multiLevelType w:val="hybridMultilevel"/>
    <w:tmpl w:val="3AAE914E"/>
    <w:lvl w:ilvl="0" w:tplc="777C3B6C">
      <w:start w:val="1"/>
      <w:numFmt w:val="upperLetter"/>
      <w:lvlText w:val="%1."/>
      <w:lvlJc w:val="left"/>
      <w:pPr>
        <w:ind w:left="785"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E32450A"/>
    <w:multiLevelType w:val="hybridMultilevel"/>
    <w:tmpl w:val="6FFEFE1A"/>
    <w:lvl w:ilvl="0" w:tplc="762ACC38">
      <w:start w:val="1"/>
      <w:numFmt w:val="upp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F61773"/>
    <w:multiLevelType w:val="hybridMultilevel"/>
    <w:tmpl w:val="E5069604"/>
    <w:lvl w:ilvl="0" w:tplc="B51EDE1E">
      <w:start w:val="2"/>
      <w:numFmt w:val="bullet"/>
      <w:lvlText w:val="-"/>
      <w:lvlJc w:val="left"/>
      <w:pPr>
        <w:ind w:left="720" w:hanging="360"/>
      </w:pPr>
      <w:rPr>
        <w:rFonts w:ascii="Garamond" w:eastAsia="Times New Roman" w:hAnsi="Garamond"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5E1744"/>
    <w:multiLevelType w:val="hybridMultilevel"/>
    <w:tmpl w:val="529CAE50"/>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6C03C8"/>
    <w:multiLevelType w:val="hybridMultilevel"/>
    <w:tmpl w:val="04AC73AA"/>
    <w:lvl w:ilvl="0" w:tplc="2B722038">
      <w:start w:val="1"/>
      <w:numFmt w:val="decimal"/>
      <w:lvlText w:val="%1."/>
      <w:lvlJc w:val="left"/>
      <w:pPr>
        <w:ind w:left="1082" w:hanging="284"/>
      </w:pPr>
      <w:rPr>
        <w:rFonts w:ascii="Arial" w:eastAsia="Arial" w:hAnsi="Arial" w:cs="Arial" w:hint="default"/>
        <w:spacing w:val="-1"/>
        <w:w w:val="99"/>
        <w:sz w:val="20"/>
        <w:szCs w:val="20"/>
        <w:lang w:val="fr-FR" w:eastAsia="fr-FR" w:bidi="fr-FR"/>
      </w:rPr>
    </w:lvl>
    <w:lvl w:ilvl="1" w:tplc="8E28033E">
      <w:numFmt w:val="bullet"/>
      <w:lvlText w:val="•"/>
      <w:lvlJc w:val="left"/>
      <w:pPr>
        <w:ind w:left="1970" w:hanging="284"/>
      </w:pPr>
      <w:rPr>
        <w:rFonts w:hint="default"/>
        <w:lang w:val="fr-FR" w:eastAsia="fr-FR" w:bidi="fr-FR"/>
      </w:rPr>
    </w:lvl>
    <w:lvl w:ilvl="2" w:tplc="B830B7D8">
      <w:numFmt w:val="bullet"/>
      <w:lvlText w:val="•"/>
      <w:lvlJc w:val="left"/>
      <w:pPr>
        <w:ind w:left="2861" w:hanging="284"/>
      </w:pPr>
      <w:rPr>
        <w:rFonts w:hint="default"/>
        <w:lang w:val="fr-FR" w:eastAsia="fr-FR" w:bidi="fr-FR"/>
      </w:rPr>
    </w:lvl>
    <w:lvl w:ilvl="3" w:tplc="4F7A60D8">
      <w:numFmt w:val="bullet"/>
      <w:lvlText w:val="•"/>
      <w:lvlJc w:val="left"/>
      <w:pPr>
        <w:ind w:left="3751" w:hanging="284"/>
      </w:pPr>
      <w:rPr>
        <w:rFonts w:hint="default"/>
        <w:lang w:val="fr-FR" w:eastAsia="fr-FR" w:bidi="fr-FR"/>
      </w:rPr>
    </w:lvl>
    <w:lvl w:ilvl="4" w:tplc="93967760">
      <w:numFmt w:val="bullet"/>
      <w:lvlText w:val="•"/>
      <w:lvlJc w:val="left"/>
      <w:pPr>
        <w:ind w:left="4642" w:hanging="284"/>
      </w:pPr>
      <w:rPr>
        <w:rFonts w:hint="default"/>
        <w:lang w:val="fr-FR" w:eastAsia="fr-FR" w:bidi="fr-FR"/>
      </w:rPr>
    </w:lvl>
    <w:lvl w:ilvl="5" w:tplc="FAD8F928">
      <w:numFmt w:val="bullet"/>
      <w:lvlText w:val="•"/>
      <w:lvlJc w:val="left"/>
      <w:pPr>
        <w:ind w:left="5533" w:hanging="284"/>
      </w:pPr>
      <w:rPr>
        <w:rFonts w:hint="default"/>
        <w:lang w:val="fr-FR" w:eastAsia="fr-FR" w:bidi="fr-FR"/>
      </w:rPr>
    </w:lvl>
    <w:lvl w:ilvl="6" w:tplc="1BD408FA">
      <w:numFmt w:val="bullet"/>
      <w:lvlText w:val="•"/>
      <w:lvlJc w:val="left"/>
      <w:pPr>
        <w:ind w:left="6423" w:hanging="284"/>
      </w:pPr>
      <w:rPr>
        <w:rFonts w:hint="default"/>
        <w:lang w:val="fr-FR" w:eastAsia="fr-FR" w:bidi="fr-FR"/>
      </w:rPr>
    </w:lvl>
    <w:lvl w:ilvl="7" w:tplc="D4401104">
      <w:numFmt w:val="bullet"/>
      <w:lvlText w:val="•"/>
      <w:lvlJc w:val="left"/>
      <w:pPr>
        <w:ind w:left="7314" w:hanging="284"/>
      </w:pPr>
      <w:rPr>
        <w:rFonts w:hint="default"/>
        <w:lang w:val="fr-FR" w:eastAsia="fr-FR" w:bidi="fr-FR"/>
      </w:rPr>
    </w:lvl>
    <w:lvl w:ilvl="8" w:tplc="40A68BBC">
      <w:numFmt w:val="bullet"/>
      <w:lvlText w:val="•"/>
      <w:lvlJc w:val="left"/>
      <w:pPr>
        <w:ind w:left="8205" w:hanging="284"/>
      </w:pPr>
      <w:rPr>
        <w:rFonts w:hint="default"/>
        <w:lang w:val="fr-FR" w:eastAsia="fr-FR" w:bidi="fr-FR"/>
      </w:rPr>
    </w:lvl>
  </w:abstractNum>
  <w:abstractNum w:abstractNumId="15" w15:restartNumberingAfterBreak="0">
    <w:nsid w:val="4CE81ECB"/>
    <w:multiLevelType w:val="hybridMultilevel"/>
    <w:tmpl w:val="83A4D38C"/>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9E16BB"/>
    <w:multiLevelType w:val="hybridMultilevel"/>
    <w:tmpl w:val="9B2436B8"/>
    <w:lvl w:ilvl="0" w:tplc="600067F2">
      <w:start w:val="1"/>
      <w:numFmt w:val="upperLetter"/>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3C6240"/>
    <w:multiLevelType w:val="hybridMultilevel"/>
    <w:tmpl w:val="4E8A7552"/>
    <w:lvl w:ilvl="0" w:tplc="FFFFFFFF">
      <w:start w:val="1"/>
      <w:numFmt w:val="decimal"/>
      <w:lvlText w:val="%1."/>
      <w:lvlJc w:val="left"/>
      <w:pPr>
        <w:ind w:left="1082" w:hanging="284"/>
      </w:pPr>
      <w:rPr>
        <w:rFonts w:ascii="Arial" w:eastAsia="Arial" w:hAnsi="Arial" w:cs="Arial" w:hint="default"/>
        <w:spacing w:val="-1"/>
        <w:w w:val="99"/>
        <w:sz w:val="20"/>
        <w:szCs w:val="20"/>
        <w:lang w:val="fr-FR" w:eastAsia="fr-FR" w:bidi="fr-FR"/>
      </w:rPr>
    </w:lvl>
    <w:lvl w:ilvl="1" w:tplc="FFFFFFFF">
      <w:numFmt w:val="bullet"/>
      <w:lvlText w:val="•"/>
      <w:lvlJc w:val="left"/>
      <w:pPr>
        <w:ind w:left="1970" w:hanging="284"/>
      </w:pPr>
      <w:rPr>
        <w:rFonts w:hint="default"/>
        <w:lang w:val="fr-FR" w:eastAsia="fr-FR" w:bidi="fr-FR"/>
      </w:rPr>
    </w:lvl>
    <w:lvl w:ilvl="2" w:tplc="FFFFFFFF">
      <w:numFmt w:val="bullet"/>
      <w:lvlText w:val="•"/>
      <w:lvlJc w:val="left"/>
      <w:pPr>
        <w:ind w:left="2861" w:hanging="284"/>
      </w:pPr>
      <w:rPr>
        <w:rFonts w:hint="default"/>
        <w:lang w:val="fr-FR" w:eastAsia="fr-FR" w:bidi="fr-FR"/>
      </w:rPr>
    </w:lvl>
    <w:lvl w:ilvl="3" w:tplc="FFFFFFFF">
      <w:numFmt w:val="bullet"/>
      <w:lvlText w:val="•"/>
      <w:lvlJc w:val="left"/>
      <w:pPr>
        <w:ind w:left="3751" w:hanging="284"/>
      </w:pPr>
      <w:rPr>
        <w:rFonts w:hint="default"/>
        <w:lang w:val="fr-FR" w:eastAsia="fr-FR" w:bidi="fr-FR"/>
      </w:rPr>
    </w:lvl>
    <w:lvl w:ilvl="4" w:tplc="FFFFFFFF">
      <w:numFmt w:val="bullet"/>
      <w:lvlText w:val="•"/>
      <w:lvlJc w:val="left"/>
      <w:pPr>
        <w:ind w:left="4642" w:hanging="284"/>
      </w:pPr>
      <w:rPr>
        <w:rFonts w:hint="default"/>
        <w:lang w:val="fr-FR" w:eastAsia="fr-FR" w:bidi="fr-FR"/>
      </w:rPr>
    </w:lvl>
    <w:lvl w:ilvl="5" w:tplc="FFFFFFFF">
      <w:numFmt w:val="bullet"/>
      <w:lvlText w:val="•"/>
      <w:lvlJc w:val="left"/>
      <w:pPr>
        <w:ind w:left="5533" w:hanging="284"/>
      </w:pPr>
      <w:rPr>
        <w:rFonts w:hint="default"/>
        <w:lang w:val="fr-FR" w:eastAsia="fr-FR" w:bidi="fr-FR"/>
      </w:rPr>
    </w:lvl>
    <w:lvl w:ilvl="6" w:tplc="FFFFFFFF">
      <w:numFmt w:val="bullet"/>
      <w:lvlText w:val="•"/>
      <w:lvlJc w:val="left"/>
      <w:pPr>
        <w:ind w:left="6423" w:hanging="284"/>
      </w:pPr>
      <w:rPr>
        <w:rFonts w:hint="default"/>
        <w:lang w:val="fr-FR" w:eastAsia="fr-FR" w:bidi="fr-FR"/>
      </w:rPr>
    </w:lvl>
    <w:lvl w:ilvl="7" w:tplc="FFFFFFFF">
      <w:numFmt w:val="bullet"/>
      <w:lvlText w:val="•"/>
      <w:lvlJc w:val="left"/>
      <w:pPr>
        <w:ind w:left="7314" w:hanging="284"/>
      </w:pPr>
      <w:rPr>
        <w:rFonts w:hint="default"/>
        <w:lang w:val="fr-FR" w:eastAsia="fr-FR" w:bidi="fr-FR"/>
      </w:rPr>
    </w:lvl>
    <w:lvl w:ilvl="8" w:tplc="FFFFFFFF">
      <w:numFmt w:val="bullet"/>
      <w:lvlText w:val="•"/>
      <w:lvlJc w:val="left"/>
      <w:pPr>
        <w:ind w:left="8205" w:hanging="284"/>
      </w:pPr>
      <w:rPr>
        <w:rFonts w:hint="default"/>
        <w:lang w:val="fr-FR" w:eastAsia="fr-FR" w:bidi="fr-FR"/>
      </w:rPr>
    </w:lvl>
  </w:abstractNum>
  <w:abstractNum w:abstractNumId="18" w15:restartNumberingAfterBreak="0">
    <w:nsid w:val="542F5098"/>
    <w:multiLevelType w:val="hybridMultilevel"/>
    <w:tmpl w:val="D6E2133C"/>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6A3BCE"/>
    <w:multiLevelType w:val="hybridMultilevel"/>
    <w:tmpl w:val="681EAB7A"/>
    <w:lvl w:ilvl="0" w:tplc="B51EDE1E">
      <w:start w:val="2"/>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937A1C"/>
    <w:multiLevelType w:val="hybridMultilevel"/>
    <w:tmpl w:val="A35C73A2"/>
    <w:lvl w:ilvl="0" w:tplc="C71E4BA6">
      <w:numFmt w:val="bullet"/>
      <w:lvlText w:val="-"/>
      <w:lvlJc w:val="left"/>
      <w:pPr>
        <w:ind w:left="720" w:hanging="360"/>
      </w:pPr>
      <w:rPr>
        <w:rFonts w:ascii="Avalon" w:eastAsiaTheme="minorHAnsi" w:hAnsi="Avalo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1B331F"/>
    <w:multiLevelType w:val="hybridMultilevel"/>
    <w:tmpl w:val="70448178"/>
    <w:lvl w:ilvl="0" w:tplc="31247B5A">
      <w:start w:val="1"/>
      <w:numFmt w:val="lowerLetter"/>
      <w:pStyle w:val="T4modleAGAMA"/>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7E780C3C"/>
    <w:multiLevelType w:val="hybridMultilevel"/>
    <w:tmpl w:val="A7783706"/>
    <w:lvl w:ilvl="0" w:tplc="4BB258A8">
      <w:start w:val="1"/>
      <w:numFmt w:val="upperRoman"/>
      <w:pStyle w:val="T1modleAGAMA"/>
      <w:lvlText w:val="%1."/>
      <w:lvlJc w:val="left"/>
      <w:pPr>
        <w:ind w:left="360" w:hanging="360"/>
      </w:pPr>
      <w:rPr>
        <w:rFonts w:ascii="Calibri" w:hAnsi="Calibri"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0194915">
    <w:abstractNumId w:val="22"/>
  </w:num>
  <w:num w:numId="2" w16cid:durableId="508718545">
    <w:abstractNumId w:val="7"/>
  </w:num>
  <w:num w:numId="3" w16cid:durableId="1530138984">
    <w:abstractNumId w:val="5"/>
  </w:num>
  <w:num w:numId="4" w16cid:durableId="1512187474">
    <w:abstractNumId w:val="21"/>
  </w:num>
  <w:num w:numId="5" w16cid:durableId="432019166">
    <w:abstractNumId w:val="1"/>
  </w:num>
  <w:num w:numId="6" w16cid:durableId="2071035675">
    <w:abstractNumId w:val="3"/>
  </w:num>
  <w:num w:numId="7" w16cid:durableId="532422799">
    <w:abstractNumId w:val="19"/>
  </w:num>
  <w:num w:numId="8" w16cid:durableId="1079671159">
    <w:abstractNumId w:val="13"/>
  </w:num>
  <w:num w:numId="9" w16cid:durableId="286208686">
    <w:abstractNumId w:val="18"/>
  </w:num>
  <w:num w:numId="10" w16cid:durableId="2074741528">
    <w:abstractNumId w:val="15"/>
  </w:num>
  <w:num w:numId="11" w16cid:durableId="132800276">
    <w:abstractNumId w:val="9"/>
  </w:num>
  <w:num w:numId="12" w16cid:durableId="1418092844">
    <w:abstractNumId w:val="4"/>
    <w:lvlOverride w:ilvl="0">
      <w:startOverride w:val="1"/>
    </w:lvlOverride>
  </w:num>
  <w:num w:numId="13" w16cid:durableId="1723864067">
    <w:abstractNumId w:val="10"/>
  </w:num>
  <w:num w:numId="14" w16cid:durableId="2130009370">
    <w:abstractNumId w:val="0"/>
  </w:num>
  <w:num w:numId="15" w16cid:durableId="1324508588">
    <w:abstractNumId w:val="11"/>
    <w:lvlOverride w:ilvl="0">
      <w:startOverride w:val="1"/>
    </w:lvlOverride>
  </w:num>
  <w:num w:numId="16" w16cid:durableId="1269579077">
    <w:abstractNumId w:val="2"/>
  </w:num>
  <w:num w:numId="17" w16cid:durableId="296186358">
    <w:abstractNumId w:val="16"/>
    <w:lvlOverride w:ilvl="0">
      <w:startOverride w:val="1"/>
    </w:lvlOverride>
  </w:num>
  <w:num w:numId="18" w16cid:durableId="516582656">
    <w:abstractNumId w:val="8"/>
  </w:num>
  <w:num w:numId="19" w16cid:durableId="1649477029">
    <w:abstractNumId w:val="6"/>
  </w:num>
  <w:num w:numId="20" w16cid:durableId="1197160387">
    <w:abstractNumId w:val="12"/>
  </w:num>
  <w:num w:numId="21" w16cid:durableId="1949465382">
    <w:abstractNumId w:val="6"/>
    <w:lvlOverride w:ilvl="0">
      <w:startOverride w:val="1"/>
    </w:lvlOverride>
  </w:num>
  <w:num w:numId="22" w16cid:durableId="390614569">
    <w:abstractNumId w:val="6"/>
    <w:lvlOverride w:ilvl="0">
      <w:startOverride w:val="1"/>
    </w:lvlOverride>
  </w:num>
  <w:num w:numId="23" w16cid:durableId="1638995227">
    <w:abstractNumId w:val="20"/>
  </w:num>
  <w:num w:numId="24" w16cid:durableId="1365519392">
    <w:abstractNumId w:val="14"/>
  </w:num>
  <w:num w:numId="25" w16cid:durableId="7571505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0B"/>
    <w:rsid w:val="000035B4"/>
    <w:rsid w:val="00003BFB"/>
    <w:rsid w:val="00003FFD"/>
    <w:rsid w:val="00005E35"/>
    <w:rsid w:val="00006764"/>
    <w:rsid w:val="000070BF"/>
    <w:rsid w:val="00010306"/>
    <w:rsid w:val="00012B66"/>
    <w:rsid w:val="00013EA8"/>
    <w:rsid w:val="00014A3D"/>
    <w:rsid w:val="00015559"/>
    <w:rsid w:val="000174A5"/>
    <w:rsid w:val="00020D24"/>
    <w:rsid w:val="0002197A"/>
    <w:rsid w:val="0002218F"/>
    <w:rsid w:val="00024D1C"/>
    <w:rsid w:val="00032615"/>
    <w:rsid w:val="00035091"/>
    <w:rsid w:val="00037905"/>
    <w:rsid w:val="00037FE5"/>
    <w:rsid w:val="00041326"/>
    <w:rsid w:val="0004240A"/>
    <w:rsid w:val="00043484"/>
    <w:rsid w:val="00046EF1"/>
    <w:rsid w:val="000549A5"/>
    <w:rsid w:val="00054E97"/>
    <w:rsid w:val="00060235"/>
    <w:rsid w:val="00061015"/>
    <w:rsid w:val="00061343"/>
    <w:rsid w:val="00063B5F"/>
    <w:rsid w:val="00065946"/>
    <w:rsid w:val="0007354A"/>
    <w:rsid w:val="00076BD4"/>
    <w:rsid w:val="00080611"/>
    <w:rsid w:val="00081B2F"/>
    <w:rsid w:val="00083D3F"/>
    <w:rsid w:val="00084483"/>
    <w:rsid w:val="00086599"/>
    <w:rsid w:val="0009417D"/>
    <w:rsid w:val="00094569"/>
    <w:rsid w:val="00097956"/>
    <w:rsid w:val="00097D2A"/>
    <w:rsid w:val="000A349D"/>
    <w:rsid w:val="000A4332"/>
    <w:rsid w:val="000A54B5"/>
    <w:rsid w:val="000B21F4"/>
    <w:rsid w:val="000B6E4D"/>
    <w:rsid w:val="000B7F0D"/>
    <w:rsid w:val="000C16F1"/>
    <w:rsid w:val="000C2765"/>
    <w:rsid w:val="000C30A9"/>
    <w:rsid w:val="000C5229"/>
    <w:rsid w:val="000C6057"/>
    <w:rsid w:val="000C780F"/>
    <w:rsid w:val="000C7C1D"/>
    <w:rsid w:val="000C7EAD"/>
    <w:rsid w:val="000D028A"/>
    <w:rsid w:val="000D0717"/>
    <w:rsid w:val="000D0767"/>
    <w:rsid w:val="000D3D0A"/>
    <w:rsid w:val="000D4FC0"/>
    <w:rsid w:val="000D737F"/>
    <w:rsid w:val="000E3719"/>
    <w:rsid w:val="000E4F64"/>
    <w:rsid w:val="000F1197"/>
    <w:rsid w:val="000F15DE"/>
    <w:rsid w:val="000F33C5"/>
    <w:rsid w:val="000F4160"/>
    <w:rsid w:val="000F7860"/>
    <w:rsid w:val="001009BC"/>
    <w:rsid w:val="00100C52"/>
    <w:rsid w:val="00100D50"/>
    <w:rsid w:val="001033C2"/>
    <w:rsid w:val="00105874"/>
    <w:rsid w:val="00106A1D"/>
    <w:rsid w:val="00107288"/>
    <w:rsid w:val="00110A91"/>
    <w:rsid w:val="0011147A"/>
    <w:rsid w:val="00113859"/>
    <w:rsid w:val="00114426"/>
    <w:rsid w:val="001157AF"/>
    <w:rsid w:val="00116C3C"/>
    <w:rsid w:val="001231A2"/>
    <w:rsid w:val="0012341C"/>
    <w:rsid w:val="001240A4"/>
    <w:rsid w:val="00126733"/>
    <w:rsid w:val="00127186"/>
    <w:rsid w:val="00127FE7"/>
    <w:rsid w:val="00127FE8"/>
    <w:rsid w:val="00130A4F"/>
    <w:rsid w:val="00130EFD"/>
    <w:rsid w:val="00132FFE"/>
    <w:rsid w:val="001338C6"/>
    <w:rsid w:val="00133BD5"/>
    <w:rsid w:val="0013503D"/>
    <w:rsid w:val="00135483"/>
    <w:rsid w:val="00135EAD"/>
    <w:rsid w:val="00136C1A"/>
    <w:rsid w:val="00136C6A"/>
    <w:rsid w:val="00136EAB"/>
    <w:rsid w:val="00142997"/>
    <w:rsid w:val="00143388"/>
    <w:rsid w:val="00144C6B"/>
    <w:rsid w:val="00145456"/>
    <w:rsid w:val="00145DA7"/>
    <w:rsid w:val="0014751D"/>
    <w:rsid w:val="00151178"/>
    <w:rsid w:val="001532FB"/>
    <w:rsid w:val="00153684"/>
    <w:rsid w:val="00160889"/>
    <w:rsid w:val="00161F14"/>
    <w:rsid w:val="00162403"/>
    <w:rsid w:val="00164A34"/>
    <w:rsid w:val="00170D2F"/>
    <w:rsid w:val="001726ED"/>
    <w:rsid w:val="00173008"/>
    <w:rsid w:val="00174195"/>
    <w:rsid w:val="001744E9"/>
    <w:rsid w:val="00176CBC"/>
    <w:rsid w:val="001779B1"/>
    <w:rsid w:val="00177D30"/>
    <w:rsid w:val="001808FE"/>
    <w:rsid w:val="00182717"/>
    <w:rsid w:val="001840CA"/>
    <w:rsid w:val="00185871"/>
    <w:rsid w:val="001909CA"/>
    <w:rsid w:val="00193943"/>
    <w:rsid w:val="00193A3C"/>
    <w:rsid w:val="00197A3E"/>
    <w:rsid w:val="001A0579"/>
    <w:rsid w:val="001A17AB"/>
    <w:rsid w:val="001A5239"/>
    <w:rsid w:val="001A63B9"/>
    <w:rsid w:val="001A6803"/>
    <w:rsid w:val="001B0B3D"/>
    <w:rsid w:val="001B18BC"/>
    <w:rsid w:val="001B2162"/>
    <w:rsid w:val="001B3E5E"/>
    <w:rsid w:val="001B3FAA"/>
    <w:rsid w:val="001B62A4"/>
    <w:rsid w:val="001B654B"/>
    <w:rsid w:val="001B6775"/>
    <w:rsid w:val="001B7356"/>
    <w:rsid w:val="001C01FD"/>
    <w:rsid w:val="001C02C7"/>
    <w:rsid w:val="001C06BC"/>
    <w:rsid w:val="001C0D45"/>
    <w:rsid w:val="001C0F0F"/>
    <w:rsid w:val="001C253F"/>
    <w:rsid w:val="001C37A0"/>
    <w:rsid w:val="001C53B4"/>
    <w:rsid w:val="001D15FE"/>
    <w:rsid w:val="001D2928"/>
    <w:rsid w:val="001D4083"/>
    <w:rsid w:val="001D4804"/>
    <w:rsid w:val="001D5875"/>
    <w:rsid w:val="001D7C5F"/>
    <w:rsid w:val="001E1DA2"/>
    <w:rsid w:val="001E5D3B"/>
    <w:rsid w:val="001E5DC5"/>
    <w:rsid w:val="001E5FA2"/>
    <w:rsid w:val="001E6B16"/>
    <w:rsid w:val="001F0AE5"/>
    <w:rsid w:val="001F0E6E"/>
    <w:rsid w:val="001F269A"/>
    <w:rsid w:val="001F390A"/>
    <w:rsid w:val="002004AA"/>
    <w:rsid w:val="00200B31"/>
    <w:rsid w:val="00202798"/>
    <w:rsid w:val="002036DA"/>
    <w:rsid w:val="002119AD"/>
    <w:rsid w:val="00223F9F"/>
    <w:rsid w:val="00224034"/>
    <w:rsid w:val="002259B9"/>
    <w:rsid w:val="0022740C"/>
    <w:rsid w:val="00231784"/>
    <w:rsid w:val="002317AD"/>
    <w:rsid w:val="002318BB"/>
    <w:rsid w:val="00233D0A"/>
    <w:rsid w:val="00241485"/>
    <w:rsid w:val="002415D0"/>
    <w:rsid w:val="00241853"/>
    <w:rsid w:val="00244E3B"/>
    <w:rsid w:val="0024547D"/>
    <w:rsid w:val="00246F2A"/>
    <w:rsid w:val="00250BE6"/>
    <w:rsid w:val="00252AB3"/>
    <w:rsid w:val="00252FD8"/>
    <w:rsid w:val="002545BD"/>
    <w:rsid w:val="00255AD0"/>
    <w:rsid w:val="00260A87"/>
    <w:rsid w:val="00261208"/>
    <w:rsid w:val="00261E69"/>
    <w:rsid w:val="00262871"/>
    <w:rsid w:val="0026383D"/>
    <w:rsid w:val="00264D73"/>
    <w:rsid w:val="00265EE9"/>
    <w:rsid w:val="002663BA"/>
    <w:rsid w:val="00266B4C"/>
    <w:rsid w:val="00267162"/>
    <w:rsid w:val="00274426"/>
    <w:rsid w:val="00274FF9"/>
    <w:rsid w:val="0027614E"/>
    <w:rsid w:val="00281A7A"/>
    <w:rsid w:val="00281F97"/>
    <w:rsid w:val="0028242D"/>
    <w:rsid w:val="0028248B"/>
    <w:rsid w:val="002908E0"/>
    <w:rsid w:val="00293A49"/>
    <w:rsid w:val="00293EBC"/>
    <w:rsid w:val="002942CF"/>
    <w:rsid w:val="002976C8"/>
    <w:rsid w:val="002A70B2"/>
    <w:rsid w:val="002B2EC5"/>
    <w:rsid w:val="002B64D7"/>
    <w:rsid w:val="002C1232"/>
    <w:rsid w:val="002C14CE"/>
    <w:rsid w:val="002C3ECB"/>
    <w:rsid w:val="002C4CC5"/>
    <w:rsid w:val="002C4DCE"/>
    <w:rsid w:val="002C58BC"/>
    <w:rsid w:val="002D0866"/>
    <w:rsid w:val="002D2D4D"/>
    <w:rsid w:val="002D76E2"/>
    <w:rsid w:val="002E0733"/>
    <w:rsid w:val="002E0A8C"/>
    <w:rsid w:val="002E0B18"/>
    <w:rsid w:val="002E0C35"/>
    <w:rsid w:val="002E0DA3"/>
    <w:rsid w:val="002E2D27"/>
    <w:rsid w:val="002E3164"/>
    <w:rsid w:val="002E39B6"/>
    <w:rsid w:val="002F046B"/>
    <w:rsid w:val="002F267E"/>
    <w:rsid w:val="002F2826"/>
    <w:rsid w:val="002F59CC"/>
    <w:rsid w:val="002F6253"/>
    <w:rsid w:val="002F64BB"/>
    <w:rsid w:val="00302A14"/>
    <w:rsid w:val="00303E06"/>
    <w:rsid w:val="00304D20"/>
    <w:rsid w:val="00306F6C"/>
    <w:rsid w:val="003075EE"/>
    <w:rsid w:val="00310AB3"/>
    <w:rsid w:val="003119DF"/>
    <w:rsid w:val="00311A61"/>
    <w:rsid w:val="00311F17"/>
    <w:rsid w:val="00313D04"/>
    <w:rsid w:val="00314882"/>
    <w:rsid w:val="00315E80"/>
    <w:rsid w:val="003164FA"/>
    <w:rsid w:val="0032244B"/>
    <w:rsid w:val="00322735"/>
    <w:rsid w:val="003239EC"/>
    <w:rsid w:val="00325CBE"/>
    <w:rsid w:val="0033213C"/>
    <w:rsid w:val="00332827"/>
    <w:rsid w:val="00333D92"/>
    <w:rsid w:val="00335DA7"/>
    <w:rsid w:val="003362D0"/>
    <w:rsid w:val="003377AD"/>
    <w:rsid w:val="00340A0D"/>
    <w:rsid w:val="00340E4A"/>
    <w:rsid w:val="003412F1"/>
    <w:rsid w:val="00341490"/>
    <w:rsid w:val="003422A1"/>
    <w:rsid w:val="00342C3D"/>
    <w:rsid w:val="00342F30"/>
    <w:rsid w:val="00343499"/>
    <w:rsid w:val="003448AD"/>
    <w:rsid w:val="003470BA"/>
    <w:rsid w:val="0035073D"/>
    <w:rsid w:val="0035128E"/>
    <w:rsid w:val="003518CC"/>
    <w:rsid w:val="003559BC"/>
    <w:rsid w:val="00355BFF"/>
    <w:rsid w:val="00355F07"/>
    <w:rsid w:val="00356224"/>
    <w:rsid w:val="00356667"/>
    <w:rsid w:val="00363EEA"/>
    <w:rsid w:val="003647BB"/>
    <w:rsid w:val="00364E16"/>
    <w:rsid w:val="00365621"/>
    <w:rsid w:val="00366714"/>
    <w:rsid w:val="0037135A"/>
    <w:rsid w:val="00371CA4"/>
    <w:rsid w:val="00373A3A"/>
    <w:rsid w:val="00375669"/>
    <w:rsid w:val="00375A9C"/>
    <w:rsid w:val="003932F2"/>
    <w:rsid w:val="00393DEF"/>
    <w:rsid w:val="003A02AB"/>
    <w:rsid w:val="003A03B4"/>
    <w:rsid w:val="003A0441"/>
    <w:rsid w:val="003A054E"/>
    <w:rsid w:val="003A0796"/>
    <w:rsid w:val="003A0BA2"/>
    <w:rsid w:val="003A1E07"/>
    <w:rsid w:val="003A2B9E"/>
    <w:rsid w:val="003A53FE"/>
    <w:rsid w:val="003A6525"/>
    <w:rsid w:val="003B1480"/>
    <w:rsid w:val="003B2A5C"/>
    <w:rsid w:val="003B4027"/>
    <w:rsid w:val="003B67DF"/>
    <w:rsid w:val="003B7345"/>
    <w:rsid w:val="003B759D"/>
    <w:rsid w:val="003C695C"/>
    <w:rsid w:val="003D02A9"/>
    <w:rsid w:val="003D129A"/>
    <w:rsid w:val="003D1621"/>
    <w:rsid w:val="003D2D01"/>
    <w:rsid w:val="003D4E13"/>
    <w:rsid w:val="003E1539"/>
    <w:rsid w:val="003E4F5F"/>
    <w:rsid w:val="003E50F5"/>
    <w:rsid w:val="003E6654"/>
    <w:rsid w:val="003E7172"/>
    <w:rsid w:val="003E7CCE"/>
    <w:rsid w:val="003F00D5"/>
    <w:rsid w:val="003F1212"/>
    <w:rsid w:val="003F1394"/>
    <w:rsid w:val="003F6078"/>
    <w:rsid w:val="003F6D69"/>
    <w:rsid w:val="003F7A13"/>
    <w:rsid w:val="00402083"/>
    <w:rsid w:val="00404384"/>
    <w:rsid w:val="00410184"/>
    <w:rsid w:val="00410703"/>
    <w:rsid w:val="00410CA8"/>
    <w:rsid w:val="004111F7"/>
    <w:rsid w:val="0041197D"/>
    <w:rsid w:val="00412753"/>
    <w:rsid w:val="00412A32"/>
    <w:rsid w:val="00412CC0"/>
    <w:rsid w:val="00413C25"/>
    <w:rsid w:val="004142A4"/>
    <w:rsid w:val="00414478"/>
    <w:rsid w:val="00414B79"/>
    <w:rsid w:val="00414DE5"/>
    <w:rsid w:val="00416238"/>
    <w:rsid w:val="00422388"/>
    <w:rsid w:val="00423142"/>
    <w:rsid w:val="004241F0"/>
    <w:rsid w:val="00427848"/>
    <w:rsid w:val="004312C8"/>
    <w:rsid w:val="004326A5"/>
    <w:rsid w:val="00433157"/>
    <w:rsid w:val="00433176"/>
    <w:rsid w:val="004338D0"/>
    <w:rsid w:val="00435869"/>
    <w:rsid w:val="00436711"/>
    <w:rsid w:val="00440CCD"/>
    <w:rsid w:val="00444D17"/>
    <w:rsid w:val="00445783"/>
    <w:rsid w:val="00445AC7"/>
    <w:rsid w:val="00450AD8"/>
    <w:rsid w:val="00466A39"/>
    <w:rsid w:val="00474CBA"/>
    <w:rsid w:val="004762EC"/>
    <w:rsid w:val="0047753E"/>
    <w:rsid w:val="004775CF"/>
    <w:rsid w:val="004776C4"/>
    <w:rsid w:val="00480BBD"/>
    <w:rsid w:val="00480D54"/>
    <w:rsid w:val="00484838"/>
    <w:rsid w:val="00484B58"/>
    <w:rsid w:val="00485117"/>
    <w:rsid w:val="00487AEE"/>
    <w:rsid w:val="00491ECB"/>
    <w:rsid w:val="00493107"/>
    <w:rsid w:val="004948D2"/>
    <w:rsid w:val="00495531"/>
    <w:rsid w:val="00496D6D"/>
    <w:rsid w:val="004A0125"/>
    <w:rsid w:val="004A16A2"/>
    <w:rsid w:val="004A1F2B"/>
    <w:rsid w:val="004A31EC"/>
    <w:rsid w:val="004A3628"/>
    <w:rsid w:val="004A5A2A"/>
    <w:rsid w:val="004A5A4F"/>
    <w:rsid w:val="004A7B4F"/>
    <w:rsid w:val="004B016E"/>
    <w:rsid w:val="004B4239"/>
    <w:rsid w:val="004B62AD"/>
    <w:rsid w:val="004C2075"/>
    <w:rsid w:val="004C3C28"/>
    <w:rsid w:val="004C6114"/>
    <w:rsid w:val="004C78BE"/>
    <w:rsid w:val="004D2548"/>
    <w:rsid w:val="004D29CA"/>
    <w:rsid w:val="004D4694"/>
    <w:rsid w:val="004D4BEE"/>
    <w:rsid w:val="004D4D10"/>
    <w:rsid w:val="004D620F"/>
    <w:rsid w:val="004D67CE"/>
    <w:rsid w:val="004D6F38"/>
    <w:rsid w:val="004D74AC"/>
    <w:rsid w:val="004E1A5E"/>
    <w:rsid w:val="004E1D46"/>
    <w:rsid w:val="004E2610"/>
    <w:rsid w:val="004E2866"/>
    <w:rsid w:val="004E2ADD"/>
    <w:rsid w:val="004E38AD"/>
    <w:rsid w:val="004E66AB"/>
    <w:rsid w:val="004E77E5"/>
    <w:rsid w:val="004E7DF8"/>
    <w:rsid w:val="004F2570"/>
    <w:rsid w:val="004F4171"/>
    <w:rsid w:val="004F4C92"/>
    <w:rsid w:val="004F4F33"/>
    <w:rsid w:val="004F57D9"/>
    <w:rsid w:val="005007CF"/>
    <w:rsid w:val="00500807"/>
    <w:rsid w:val="00502A84"/>
    <w:rsid w:val="0050428C"/>
    <w:rsid w:val="005042DE"/>
    <w:rsid w:val="00504CEC"/>
    <w:rsid w:val="00507A26"/>
    <w:rsid w:val="00513E76"/>
    <w:rsid w:val="005172AB"/>
    <w:rsid w:val="00517398"/>
    <w:rsid w:val="005222F1"/>
    <w:rsid w:val="00522EB1"/>
    <w:rsid w:val="00524BD6"/>
    <w:rsid w:val="00524DA2"/>
    <w:rsid w:val="00524E2C"/>
    <w:rsid w:val="00530160"/>
    <w:rsid w:val="005304CE"/>
    <w:rsid w:val="00531A22"/>
    <w:rsid w:val="0053337D"/>
    <w:rsid w:val="00533480"/>
    <w:rsid w:val="005353FA"/>
    <w:rsid w:val="00541E3E"/>
    <w:rsid w:val="00543DD7"/>
    <w:rsid w:val="00547621"/>
    <w:rsid w:val="00550C7C"/>
    <w:rsid w:val="005515AD"/>
    <w:rsid w:val="00553347"/>
    <w:rsid w:val="005565A0"/>
    <w:rsid w:val="00557294"/>
    <w:rsid w:val="005601D8"/>
    <w:rsid w:val="00561110"/>
    <w:rsid w:val="00562EDF"/>
    <w:rsid w:val="005632B3"/>
    <w:rsid w:val="005648ED"/>
    <w:rsid w:val="00570CFE"/>
    <w:rsid w:val="005727E7"/>
    <w:rsid w:val="00573F06"/>
    <w:rsid w:val="0057405F"/>
    <w:rsid w:val="005752EF"/>
    <w:rsid w:val="00575C90"/>
    <w:rsid w:val="0057675A"/>
    <w:rsid w:val="005772CA"/>
    <w:rsid w:val="005835AE"/>
    <w:rsid w:val="00590231"/>
    <w:rsid w:val="00590F13"/>
    <w:rsid w:val="00591184"/>
    <w:rsid w:val="0059276A"/>
    <w:rsid w:val="00593C38"/>
    <w:rsid w:val="00597730"/>
    <w:rsid w:val="00597E22"/>
    <w:rsid w:val="005A12D1"/>
    <w:rsid w:val="005A222B"/>
    <w:rsid w:val="005A357B"/>
    <w:rsid w:val="005A4793"/>
    <w:rsid w:val="005B2476"/>
    <w:rsid w:val="005B2B45"/>
    <w:rsid w:val="005B36E7"/>
    <w:rsid w:val="005B4F97"/>
    <w:rsid w:val="005B51EA"/>
    <w:rsid w:val="005B7A96"/>
    <w:rsid w:val="005C0D6D"/>
    <w:rsid w:val="005C254F"/>
    <w:rsid w:val="005C2842"/>
    <w:rsid w:val="005C2F4F"/>
    <w:rsid w:val="005C39BA"/>
    <w:rsid w:val="005C48B0"/>
    <w:rsid w:val="005D003E"/>
    <w:rsid w:val="005D01E4"/>
    <w:rsid w:val="005D0C7F"/>
    <w:rsid w:val="005D1693"/>
    <w:rsid w:val="005D3330"/>
    <w:rsid w:val="005D415B"/>
    <w:rsid w:val="005D55DA"/>
    <w:rsid w:val="005D634E"/>
    <w:rsid w:val="005D768C"/>
    <w:rsid w:val="005E493F"/>
    <w:rsid w:val="005E7F0E"/>
    <w:rsid w:val="005F057D"/>
    <w:rsid w:val="005F0B23"/>
    <w:rsid w:val="005F1CC6"/>
    <w:rsid w:val="005F1CF5"/>
    <w:rsid w:val="005F24D3"/>
    <w:rsid w:val="005F2B6E"/>
    <w:rsid w:val="005F4AD1"/>
    <w:rsid w:val="005F5360"/>
    <w:rsid w:val="005F6079"/>
    <w:rsid w:val="005F6421"/>
    <w:rsid w:val="0060027A"/>
    <w:rsid w:val="00600428"/>
    <w:rsid w:val="006008C5"/>
    <w:rsid w:val="00602E20"/>
    <w:rsid w:val="006038C2"/>
    <w:rsid w:val="00603D49"/>
    <w:rsid w:val="006044A4"/>
    <w:rsid w:val="00604B3D"/>
    <w:rsid w:val="006064A9"/>
    <w:rsid w:val="00607298"/>
    <w:rsid w:val="00607CA4"/>
    <w:rsid w:val="00610526"/>
    <w:rsid w:val="006118AA"/>
    <w:rsid w:val="006129BF"/>
    <w:rsid w:val="0061354D"/>
    <w:rsid w:val="006154B9"/>
    <w:rsid w:val="006164BA"/>
    <w:rsid w:val="00616AC9"/>
    <w:rsid w:val="006209F6"/>
    <w:rsid w:val="00620FB7"/>
    <w:rsid w:val="006218D7"/>
    <w:rsid w:val="00622CB8"/>
    <w:rsid w:val="00624C3D"/>
    <w:rsid w:val="00626F87"/>
    <w:rsid w:val="00627621"/>
    <w:rsid w:val="00627F12"/>
    <w:rsid w:val="006356CB"/>
    <w:rsid w:val="00635DDA"/>
    <w:rsid w:val="00636B4A"/>
    <w:rsid w:val="0064004D"/>
    <w:rsid w:val="0064022F"/>
    <w:rsid w:val="00642E3E"/>
    <w:rsid w:val="00643370"/>
    <w:rsid w:val="0064454A"/>
    <w:rsid w:val="00644985"/>
    <w:rsid w:val="006450DF"/>
    <w:rsid w:val="00645EEB"/>
    <w:rsid w:val="00647A55"/>
    <w:rsid w:val="00650B97"/>
    <w:rsid w:val="0065149F"/>
    <w:rsid w:val="0065195D"/>
    <w:rsid w:val="0065213A"/>
    <w:rsid w:val="006538E7"/>
    <w:rsid w:val="0065499A"/>
    <w:rsid w:val="00654B98"/>
    <w:rsid w:val="00655153"/>
    <w:rsid w:val="006552FF"/>
    <w:rsid w:val="00661C9C"/>
    <w:rsid w:val="006641C0"/>
    <w:rsid w:val="00665D4C"/>
    <w:rsid w:val="006670DB"/>
    <w:rsid w:val="0066713A"/>
    <w:rsid w:val="00670B0F"/>
    <w:rsid w:val="006721EA"/>
    <w:rsid w:val="006729B3"/>
    <w:rsid w:val="006750F8"/>
    <w:rsid w:val="00677869"/>
    <w:rsid w:val="00677D7A"/>
    <w:rsid w:val="00680F4B"/>
    <w:rsid w:val="00685857"/>
    <w:rsid w:val="00686CD6"/>
    <w:rsid w:val="00686F86"/>
    <w:rsid w:val="00687F9C"/>
    <w:rsid w:val="006904C2"/>
    <w:rsid w:val="00691F3B"/>
    <w:rsid w:val="00692A7F"/>
    <w:rsid w:val="006935F0"/>
    <w:rsid w:val="0069382F"/>
    <w:rsid w:val="00697530"/>
    <w:rsid w:val="00697AD6"/>
    <w:rsid w:val="006A1050"/>
    <w:rsid w:val="006A10F4"/>
    <w:rsid w:val="006A1C3D"/>
    <w:rsid w:val="006A2009"/>
    <w:rsid w:val="006A7174"/>
    <w:rsid w:val="006A7612"/>
    <w:rsid w:val="006B1C79"/>
    <w:rsid w:val="006B29F6"/>
    <w:rsid w:val="006B47B8"/>
    <w:rsid w:val="006B787B"/>
    <w:rsid w:val="006B7C93"/>
    <w:rsid w:val="006B7F02"/>
    <w:rsid w:val="006C1636"/>
    <w:rsid w:val="006C1789"/>
    <w:rsid w:val="006C3C6C"/>
    <w:rsid w:val="006D0F8B"/>
    <w:rsid w:val="006D1B54"/>
    <w:rsid w:val="006D1D8F"/>
    <w:rsid w:val="006D21CB"/>
    <w:rsid w:val="006D336F"/>
    <w:rsid w:val="006D3FAD"/>
    <w:rsid w:val="006D5819"/>
    <w:rsid w:val="006E24AE"/>
    <w:rsid w:val="006E4DF7"/>
    <w:rsid w:val="006E53C6"/>
    <w:rsid w:val="006E5ACB"/>
    <w:rsid w:val="006E5B70"/>
    <w:rsid w:val="006E6DF8"/>
    <w:rsid w:val="006F0C9D"/>
    <w:rsid w:val="006F1494"/>
    <w:rsid w:val="006F44C7"/>
    <w:rsid w:val="006F482B"/>
    <w:rsid w:val="00700AA2"/>
    <w:rsid w:val="00702BCE"/>
    <w:rsid w:val="00702DE8"/>
    <w:rsid w:val="00703B37"/>
    <w:rsid w:val="007078C3"/>
    <w:rsid w:val="00710365"/>
    <w:rsid w:val="00710C14"/>
    <w:rsid w:val="00711C79"/>
    <w:rsid w:val="00711D7D"/>
    <w:rsid w:val="00712D7B"/>
    <w:rsid w:val="00720B5F"/>
    <w:rsid w:val="00720C9D"/>
    <w:rsid w:val="007238CD"/>
    <w:rsid w:val="00725399"/>
    <w:rsid w:val="007253BF"/>
    <w:rsid w:val="00726AFE"/>
    <w:rsid w:val="00726D67"/>
    <w:rsid w:val="007271C0"/>
    <w:rsid w:val="0072747D"/>
    <w:rsid w:val="00733727"/>
    <w:rsid w:val="00736E81"/>
    <w:rsid w:val="0074083F"/>
    <w:rsid w:val="00743C46"/>
    <w:rsid w:val="00751BD2"/>
    <w:rsid w:val="00752078"/>
    <w:rsid w:val="00753068"/>
    <w:rsid w:val="0075353B"/>
    <w:rsid w:val="00753D86"/>
    <w:rsid w:val="007555F8"/>
    <w:rsid w:val="0075774B"/>
    <w:rsid w:val="00757F21"/>
    <w:rsid w:val="00760A2F"/>
    <w:rsid w:val="0076649C"/>
    <w:rsid w:val="0076654C"/>
    <w:rsid w:val="00767363"/>
    <w:rsid w:val="00767B80"/>
    <w:rsid w:val="00770D4C"/>
    <w:rsid w:val="0077150E"/>
    <w:rsid w:val="00772501"/>
    <w:rsid w:val="00772674"/>
    <w:rsid w:val="00776548"/>
    <w:rsid w:val="00777C6C"/>
    <w:rsid w:val="00780BC4"/>
    <w:rsid w:val="00784457"/>
    <w:rsid w:val="007849FA"/>
    <w:rsid w:val="00784B8A"/>
    <w:rsid w:val="00787C6E"/>
    <w:rsid w:val="00787D1E"/>
    <w:rsid w:val="00794994"/>
    <w:rsid w:val="00795A32"/>
    <w:rsid w:val="007962E9"/>
    <w:rsid w:val="0079717B"/>
    <w:rsid w:val="00797ECD"/>
    <w:rsid w:val="007A22E8"/>
    <w:rsid w:val="007A3AA0"/>
    <w:rsid w:val="007A407F"/>
    <w:rsid w:val="007A446F"/>
    <w:rsid w:val="007A4504"/>
    <w:rsid w:val="007A5544"/>
    <w:rsid w:val="007A561C"/>
    <w:rsid w:val="007B188C"/>
    <w:rsid w:val="007B1D78"/>
    <w:rsid w:val="007B25C6"/>
    <w:rsid w:val="007B4D55"/>
    <w:rsid w:val="007B74C0"/>
    <w:rsid w:val="007C1091"/>
    <w:rsid w:val="007C3185"/>
    <w:rsid w:val="007C5719"/>
    <w:rsid w:val="007C57C6"/>
    <w:rsid w:val="007C5DCC"/>
    <w:rsid w:val="007C7630"/>
    <w:rsid w:val="007D17F7"/>
    <w:rsid w:val="007D2CC7"/>
    <w:rsid w:val="007D4DA0"/>
    <w:rsid w:val="007E0026"/>
    <w:rsid w:val="007E1586"/>
    <w:rsid w:val="007E30A5"/>
    <w:rsid w:val="007E3F1C"/>
    <w:rsid w:val="007E43B1"/>
    <w:rsid w:val="007E6C7F"/>
    <w:rsid w:val="007F08B8"/>
    <w:rsid w:val="007F0FE9"/>
    <w:rsid w:val="007F13C2"/>
    <w:rsid w:val="007F1479"/>
    <w:rsid w:val="007F4B52"/>
    <w:rsid w:val="007F4D13"/>
    <w:rsid w:val="007F5698"/>
    <w:rsid w:val="007F7503"/>
    <w:rsid w:val="007F7BDC"/>
    <w:rsid w:val="007F7CA6"/>
    <w:rsid w:val="007F7E45"/>
    <w:rsid w:val="00801DCC"/>
    <w:rsid w:val="00802BEA"/>
    <w:rsid w:val="008113BC"/>
    <w:rsid w:val="00817016"/>
    <w:rsid w:val="0081783E"/>
    <w:rsid w:val="008227F0"/>
    <w:rsid w:val="00823116"/>
    <w:rsid w:val="00825084"/>
    <w:rsid w:val="008268AE"/>
    <w:rsid w:val="00827C71"/>
    <w:rsid w:val="008337ED"/>
    <w:rsid w:val="008350AE"/>
    <w:rsid w:val="00835875"/>
    <w:rsid w:val="00836782"/>
    <w:rsid w:val="00836BD4"/>
    <w:rsid w:val="0084175B"/>
    <w:rsid w:val="00844061"/>
    <w:rsid w:val="0084454A"/>
    <w:rsid w:val="00845380"/>
    <w:rsid w:val="008465FD"/>
    <w:rsid w:val="00847211"/>
    <w:rsid w:val="00850CB2"/>
    <w:rsid w:val="008512D3"/>
    <w:rsid w:val="0085144C"/>
    <w:rsid w:val="008524BB"/>
    <w:rsid w:val="00853C6C"/>
    <w:rsid w:val="008552BF"/>
    <w:rsid w:val="00857E97"/>
    <w:rsid w:val="00861AEF"/>
    <w:rsid w:val="008647D7"/>
    <w:rsid w:val="00866178"/>
    <w:rsid w:val="00866B06"/>
    <w:rsid w:val="00871040"/>
    <w:rsid w:val="0087339E"/>
    <w:rsid w:val="0087488C"/>
    <w:rsid w:val="00874F39"/>
    <w:rsid w:val="008751EF"/>
    <w:rsid w:val="008757EA"/>
    <w:rsid w:val="00876078"/>
    <w:rsid w:val="00876226"/>
    <w:rsid w:val="00877962"/>
    <w:rsid w:val="00881CDD"/>
    <w:rsid w:val="008824E3"/>
    <w:rsid w:val="0088347B"/>
    <w:rsid w:val="00885051"/>
    <w:rsid w:val="00885A5B"/>
    <w:rsid w:val="00887E38"/>
    <w:rsid w:val="0089320B"/>
    <w:rsid w:val="0089369E"/>
    <w:rsid w:val="00894F57"/>
    <w:rsid w:val="00896570"/>
    <w:rsid w:val="0089784D"/>
    <w:rsid w:val="008979D2"/>
    <w:rsid w:val="00897A27"/>
    <w:rsid w:val="008A3131"/>
    <w:rsid w:val="008A4DA9"/>
    <w:rsid w:val="008A5014"/>
    <w:rsid w:val="008A7215"/>
    <w:rsid w:val="008B088C"/>
    <w:rsid w:val="008B26CC"/>
    <w:rsid w:val="008B3EE3"/>
    <w:rsid w:val="008B5485"/>
    <w:rsid w:val="008C0D1D"/>
    <w:rsid w:val="008C2658"/>
    <w:rsid w:val="008C2B66"/>
    <w:rsid w:val="008C3723"/>
    <w:rsid w:val="008C4AD7"/>
    <w:rsid w:val="008D0939"/>
    <w:rsid w:val="008D0D1E"/>
    <w:rsid w:val="008D2188"/>
    <w:rsid w:val="008D44C9"/>
    <w:rsid w:val="008D479D"/>
    <w:rsid w:val="008D4D77"/>
    <w:rsid w:val="008D64FD"/>
    <w:rsid w:val="008E31B4"/>
    <w:rsid w:val="008E3659"/>
    <w:rsid w:val="008E3B4F"/>
    <w:rsid w:val="008E60A9"/>
    <w:rsid w:val="008E6F06"/>
    <w:rsid w:val="008E772C"/>
    <w:rsid w:val="008F0306"/>
    <w:rsid w:val="008F2375"/>
    <w:rsid w:val="008F5E27"/>
    <w:rsid w:val="008F7D1C"/>
    <w:rsid w:val="00901690"/>
    <w:rsid w:val="00902A13"/>
    <w:rsid w:val="00902C72"/>
    <w:rsid w:val="009061C3"/>
    <w:rsid w:val="00906EAC"/>
    <w:rsid w:val="009101B0"/>
    <w:rsid w:val="00911EDA"/>
    <w:rsid w:val="00913B84"/>
    <w:rsid w:val="00915337"/>
    <w:rsid w:val="009169D1"/>
    <w:rsid w:val="00917D49"/>
    <w:rsid w:val="009222C5"/>
    <w:rsid w:val="009224C3"/>
    <w:rsid w:val="009252F0"/>
    <w:rsid w:val="00926B30"/>
    <w:rsid w:val="00927F41"/>
    <w:rsid w:val="00930FAD"/>
    <w:rsid w:val="009314AC"/>
    <w:rsid w:val="0093277D"/>
    <w:rsid w:val="00933B6A"/>
    <w:rsid w:val="00934E76"/>
    <w:rsid w:val="00935966"/>
    <w:rsid w:val="00935FBB"/>
    <w:rsid w:val="00936190"/>
    <w:rsid w:val="00936FF8"/>
    <w:rsid w:val="00937DCE"/>
    <w:rsid w:val="00942A85"/>
    <w:rsid w:val="0094321C"/>
    <w:rsid w:val="009441A7"/>
    <w:rsid w:val="009477DF"/>
    <w:rsid w:val="00956EB0"/>
    <w:rsid w:val="00956F6A"/>
    <w:rsid w:val="00961657"/>
    <w:rsid w:val="0096211D"/>
    <w:rsid w:val="009630FA"/>
    <w:rsid w:val="009638E7"/>
    <w:rsid w:val="0096490B"/>
    <w:rsid w:val="00970173"/>
    <w:rsid w:val="0097097B"/>
    <w:rsid w:val="009730A0"/>
    <w:rsid w:val="00973CB0"/>
    <w:rsid w:val="00975E7E"/>
    <w:rsid w:val="009770EA"/>
    <w:rsid w:val="00981010"/>
    <w:rsid w:val="00981EAE"/>
    <w:rsid w:val="00982F05"/>
    <w:rsid w:val="00983E59"/>
    <w:rsid w:val="00983F87"/>
    <w:rsid w:val="0098649D"/>
    <w:rsid w:val="00987FC9"/>
    <w:rsid w:val="00990E53"/>
    <w:rsid w:val="009932C3"/>
    <w:rsid w:val="00995AF7"/>
    <w:rsid w:val="00997459"/>
    <w:rsid w:val="00997828"/>
    <w:rsid w:val="00997F03"/>
    <w:rsid w:val="009A0119"/>
    <w:rsid w:val="009A0BDF"/>
    <w:rsid w:val="009A345F"/>
    <w:rsid w:val="009A4CBD"/>
    <w:rsid w:val="009A5A44"/>
    <w:rsid w:val="009A5E0B"/>
    <w:rsid w:val="009A6C2B"/>
    <w:rsid w:val="009B03C1"/>
    <w:rsid w:val="009B0A2B"/>
    <w:rsid w:val="009B2BFA"/>
    <w:rsid w:val="009B3894"/>
    <w:rsid w:val="009C0475"/>
    <w:rsid w:val="009C157B"/>
    <w:rsid w:val="009C38EA"/>
    <w:rsid w:val="009C3AFA"/>
    <w:rsid w:val="009C4387"/>
    <w:rsid w:val="009C582E"/>
    <w:rsid w:val="009C6199"/>
    <w:rsid w:val="009C798F"/>
    <w:rsid w:val="009C7C32"/>
    <w:rsid w:val="009D0B1D"/>
    <w:rsid w:val="009D25D3"/>
    <w:rsid w:val="009D4594"/>
    <w:rsid w:val="009D498B"/>
    <w:rsid w:val="009D5A4C"/>
    <w:rsid w:val="009D65FF"/>
    <w:rsid w:val="009D6CBC"/>
    <w:rsid w:val="009D7964"/>
    <w:rsid w:val="009E3DEF"/>
    <w:rsid w:val="009E3FAD"/>
    <w:rsid w:val="009E5A4C"/>
    <w:rsid w:val="009E63AA"/>
    <w:rsid w:val="009E6530"/>
    <w:rsid w:val="009F0BA0"/>
    <w:rsid w:val="009F226D"/>
    <w:rsid w:val="009F2A66"/>
    <w:rsid w:val="009F471E"/>
    <w:rsid w:val="009F4727"/>
    <w:rsid w:val="009F6144"/>
    <w:rsid w:val="009F75FB"/>
    <w:rsid w:val="009F7BD4"/>
    <w:rsid w:val="00A01287"/>
    <w:rsid w:val="00A03144"/>
    <w:rsid w:val="00A05348"/>
    <w:rsid w:val="00A0611D"/>
    <w:rsid w:val="00A07EF6"/>
    <w:rsid w:val="00A11465"/>
    <w:rsid w:val="00A13A86"/>
    <w:rsid w:val="00A14478"/>
    <w:rsid w:val="00A148F6"/>
    <w:rsid w:val="00A251D5"/>
    <w:rsid w:val="00A25306"/>
    <w:rsid w:val="00A253AC"/>
    <w:rsid w:val="00A31D8C"/>
    <w:rsid w:val="00A335BA"/>
    <w:rsid w:val="00A36799"/>
    <w:rsid w:val="00A4098A"/>
    <w:rsid w:val="00A41E7A"/>
    <w:rsid w:val="00A42050"/>
    <w:rsid w:val="00A420EC"/>
    <w:rsid w:val="00A43AAE"/>
    <w:rsid w:val="00A44C67"/>
    <w:rsid w:val="00A45DB3"/>
    <w:rsid w:val="00A47BB5"/>
    <w:rsid w:val="00A52103"/>
    <w:rsid w:val="00A5662B"/>
    <w:rsid w:val="00A6102B"/>
    <w:rsid w:val="00A61EA8"/>
    <w:rsid w:val="00A648CA"/>
    <w:rsid w:val="00A65E35"/>
    <w:rsid w:val="00A674AD"/>
    <w:rsid w:val="00A705EA"/>
    <w:rsid w:val="00A70A20"/>
    <w:rsid w:val="00A71A21"/>
    <w:rsid w:val="00A73A18"/>
    <w:rsid w:val="00A73E96"/>
    <w:rsid w:val="00A813A6"/>
    <w:rsid w:val="00A8333C"/>
    <w:rsid w:val="00A84161"/>
    <w:rsid w:val="00A8542B"/>
    <w:rsid w:val="00A865BB"/>
    <w:rsid w:val="00A90024"/>
    <w:rsid w:val="00A91C54"/>
    <w:rsid w:val="00A939C9"/>
    <w:rsid w:val="00A93EC9"/>
    <w:rsid w:val="00A952F1"/>
    <w:rsid w:val="00A95454"/>
    <w:rsid w:val="00A967A4"/>
    <w:rsid w:val="00A976E6"/>
    <w:rsid w:val="00A97CAE"/>
    <w:rsid w:val="00AA351D"/>
    <w:rsid w:val="00AA41AD"/>
    <w:rsid w:val="00AA7DC8"/>
    <w:rsid w:val="00AB0105"/>
    <w:rsid w:val="00AB1955"/>
    <w:rsid w:val="00AB24FD"/>
    <w:rsid w:val="00AB4E4A"/>
    <w:rsid w:val="00AB53CA"/>
    <w:rsid w:val="00AB6B23"/>
    <w:rsid w:val="00AC0379"/>
    <w:rsid w:val="00AC1432"/>
    <w:rsid w:val="00AC35CC"/>
    <w:rsid w:val="00AC41DB"/>
    <w:rsid w:val="00AC5CC2"/>
    <w:rsid w:val="00AC69D7"/>
    <w:rsid w:val="00AD08FA"/>
    <w:rsid w:val="00AD0C4E"/>
    <w:rsid w:val="00AD12D5"/>
    <w:rsid w:val="00AD159C"/>
    <w:rsid w:val="00AD1FDA"/>
    <w:rsid w:val="00AD26FE"/>
    <w:rsid w:val="00AD3418"/>
    <w:rsid w:val="00AD4C65"/>
    <w:rsid w:val="00AD6DE7"/>
    <w:rsid w:val="00AD7259"/>
    <w:rsid w:val="00AD75A9"/>
    <w:rsid w:val="00AE31CE"/>
    <w:rsid w:val="00AE4F69"/>
    <w:rsid w:val="00AE6746"/>
    <w:rsid w:val="00AE741D"/>
    <w:rsid w:val="00AE7D96"/>
    <w:rsid w:val="00AE7EF0"/>
    <w:rsid w:val="00AF1659"/>
    <w:rsid w:val="00AF16B9"/>
    <w:rsid w:val="00AF34C3"/>
    <w:rsid w:val="00AF384E"/>
    <w:rsid w:val="00AF3C1B"/>
    <w:rsid w:val="00B00859"/>
    <w:rsid w:val="00B03503"/>
    <w:rsid w:val="00B04A8C"/>
    <w:rsid w:val="00B07339"/>
    <w:rsid w:val="00B11A5A"/>
    <w:rsid w:val="00B12300"/>
    <w:rsid w:val="00B12850"/>
    <w:rsid w:val="00B12F1D"/>
    <w:rsid w:val="00B1472B"/>
    <w:rsid w:val="00B165AC"/>
    <w:rsid w:val="00B246CE"/>
    <w:rsid w:val="00B25003"/>
    <w:rsid w:val="00B25E49"/>
    <w:rsid w:val="00B26740"/>
    <w:rsid w:val="00B30C40"/>
    <w:rsid w:val="00B30D07"/>
    <w:rsid w:val="00B351E8"/>
    <w:rsid w:val="00B3552A"/>
    <w:rsid w:val="00B3597B"/>
    <w:rsid w:val="00B36CFE"/>
    <w:rsid w:val="00B36E3B"/>
    <w:rsid w:val="00B36EA2"/>
    <w:rsid w:val="00B37B11"/>
    <w:rsid w:val="00B37EBE"/>
    <w:rsid w:val="00B4095B"/>
    <w:rsid w:val="00B40AE7"/>
    <w:rsid w:val="00B41983"/>
    <w:rsid w:val="00B421F7"/>
    <w:rsid w:val="00B4337D"/>
    <w:rsid w:val="00B4370B"/>
    <w:rsid w:val="00B43963"/>
    <w:rsid w:val="00B43A71"/>
    <w:rsid w:val="00B47563"/>
    <w:rsid w:val="00B51D85"/>
    <w:rsid w:val="00B523F7"/>
    <w:rsid w:val="00B533D2"/>
    <w:rsid w:val="00B53DBD"/>
    <w:rsid w:val="00B548AF"/>
    <w:rsid w:val="00B54FD1"/>
    <w:rsid w:val="00B638C0"/>
    <w:rsid w:val="00B63AAF"/>
    <w:rsid w:val="00B647E3"/>
    <w:rsid w:val="00B650BC"/>
    <w:rsid w:val="00B6511D"/>
    <w:rsid w:val="00B666FC"/>
    <w:rsid w:val="00B66E35"/>
    <w:rsid w:val="00B677D0"/>
    <w:rsid w:val="00B67E22"/>
    <w:rsid w:val="00B70174"/>
    <w:rsid w:val="00B7019F"/>
    <w:rsid w:val="00B720B3"/>
    <w:rsid w:val="00B72A06"/>
    <w:rsid w:val="00B73A56"/>
    <w:rsid w:val="00B73C2D"/>
    <w:rsid w:val="00B74F7A"/>
    <w:rsid w:val="00B75CD2"/>
    <w:rsid w:val="00B7694F"/>
    <w:rsid w:val="00B76AA2"/>
    <w:rsid w:val="00B76DDA"/>
    <w:rsid w:val="00B77665"/>
    <w:rsid w:val="00B77DEA"/>
    <w:rsid w:val="00B8068F"/>
    <w:rsid w:val="00B82A2B"/>
    <w:rsid w:val="00B8337F"/>
    <w:rsid w:val="00B837F2"/>
    <w:rsid w:val="00B8404F"/>
    <w:rsid w:val="00B868AA"/>
    <w:rsid w:val="00B86998"/>
    <w:rsid w:val="00B86C0C"/>
    <w:rsid w:val="00B875CD"/>
    <w:rsid w:val="00B90512"/>
    <w:rsid w:val="00B90ED6"/>
    <w:rsid w:val="00B918E5"/>
    <w:rsid w:val="00B9203E"/>
    <w:rsid w:val="00B9329B"/>
    <w:rsid w:val="00B9370F"/>
    <w:rsid w:val="00B96A47"/>
    <w:rsid w:val="00B9741A"/>
    <w:rsid w:val="00BA4A49"/>
    <w:rsid w:val="00BA4D03"/>
    <w:rsid w:val="00BA52DA"/>
    <w:rsid w:val="00BA5A01"/>
    <w:rsid w:val="00BA69B1"/>
    <w:rsid w:val="00BB0867"/>
    <w:rsid w:val="00BB089B"/>
    <w:rsid w:val="00BB0F37"/>
    <w:rsid w:val="00BB24B0"/>
    <w:rsid w:val="00BB2F9A"/>
    <w:rsid w:val="00BB495C"/>
    <w:rsid w:val="00BB5B91"/>
    <w:rsid w:val="00BB5C08"/>
    <w:rsid w:val="00BB7550"/>
    <w:rsid w:val="00BB7ECF"/>
    <w:rsid w:val="00BC1831"/>
    <w:rsid w:val="00BC23DA"/>
    <w:rsid w:val="00BC49E6"/>
    <w:rsid w:val="00BC5042"/>
    <w:rsid w:val="00BC79E0"/>
    <w:rsid w:val="00BC7C76"/>
    <w:rsid w:val="00BD0261"/>
    <w:rsid w:val="00BD103D"/>
    <w:rsid w:val="00BD5A68"/>
    <w:rsid w:val="00BD7672"/>
    <w:rsid w:val="00BE03CF"/>
    <w:rsid w:val="00BE1CB3"/>
    <w:rsid w:val="00BE2DC6"/>
    <w:rsid w:val="00BE315B"/>
    <w:rsid w:val="00BE39DB"/>
    <w:rsid w:val="00BE4904"/>
    <w:rsid w:val="00BE4C00"/>
    <w:rsid w:val="00BF01B5"/>
    <w:rsid w:val="00BF0202"/>
    <w:rsid w:val="00BF1173"/>
    <w:rsid w:val="00BF1F0B"/>
    <w:rsid w:val="00BF2946"/>
    <w:rsid w:val="00BF358D"/>
    <w:rsid w:val="00BF3ABD"/>
    <w:rsid w:val="00BF5079"/>
    <w:rsid w:val="00BF64E0"/>
    <w:rsid w:val="00BF67F5"/>
    <w:rsid w:val="00C00071"/>
    <w:rsid w:val="00C04384"/>
    <w:rsid w:val="00C04700"/>
    <w:rsid w:val="00C053DE"/>
    <w:rsid w:val="00C0620C"/>
    <w:rsid w:val="00C07AAD"/>
    <w:rsid w:val="00C10734"/>
    <w:rsid w:val="00C11156"/>
    <w:rsid w:val="00C14F3D"/>
    <w:rsid w:val="00C15069"/>
    <w:rsid w:val="00C16D13"/>
    <w:rsid w:val="00C2269F"/>
    <w:rsid w:val="00C24CEF"/>
    <w:rsid w:val="00C2547E"/>
    <w:rsid w:val="00C25C77"/>
    <w:rsid w:val="00C26130"/>
    <w:rsid w:val="00C26B8E"/>
    <w:rsid w:val="00C2787F"/>
    <w:rsid w:val="00C40686"/>
    <w:rsid w:val="00C43BDA"/>
    <w:rsid w:val="00C44DB3"/>
    <w:rsid w:val="00C46283"/>
    <w:rsid w:val="00C46DAC"/>
    <w:rsid w:val="00C47121"/>
    <w:rsid w:val="00C50003"/>
    <w:rsid w:val="00C51197"/>
    <w:rsid w:val="00C52661"/>
    <w:rsid w:val="00C535F2"/>
    <w:rsid w:val="00C53B0D"/>
    <w:rsid w:val="00C53B53"/>
    <w:rsid w:val="00C611CE"/>
    <w:rsid w:val="00C621A6"/>
    <w:rsid w:val="00C657B9"/>
    <w:rsid w:val="00C669AB"/>
    <w:rsid w:val="00C704D6"/>
    <w:rsid w:val="00C763C9"/>
    <w:rsid w:val="00C765DB"/>
    <w:rsid w:val="00C8009D"/>
    <w:rsid w:val="00C81078"/>
    <w:rsid w:val="00C85547"/>
    <w:rsid w:val="00C873DA"/>
    <w:rsid w:val="00C921B3"/>
    <w:rsid w:val="00CA14A5"/>
    <w:rsid w:val="00CA22E3"/>
    <w:rsid w:val="00CA2B14"/>
    <w:rsid w:val="00CA2C10"/>
    <w:rsid w:val="00CA2FB3"/>
    <w:rsid w:val="00CA4602"/>
    <w:rsid w:val="00CA5501"/>
    <w:rsid w:val="00CA5B9C"/>
    <w:rsid w:val="00CB15EB"/>
    <w:rsid w:val="00CB51D8"/>
    <w:rsid w:val="00CB5A98"/>
    <w:rsid w:val="00CB74D2"/>
    <w:rsid w:val="00CB7749"/>
    <w:rsid w:val="00CB77AB"/>
    <w:rsid w:val="00CC0456"/>
    <w:rsid w:val="00CC2129"/>
    <w:rsid w:val="00CC54A7"/>
    <w:rsid w:val="00CD0A25"/>
    <w:rsid w:val="00CD327B"/>
    <w:rsid w:val="00CD3E84"/>
    <w:rsid w:val="00CD4271"/>
    <w:rsid w:val="00CD4FC2"/>
    <w:rsid w:val="00CD6DBE"/>
    <w:rsid w:val="00CE00A0"/>
    <w:rsid w:val="00CE0C93"/>
    <w:rsid w:val="00CE3CA8"/>
    <w:rsid w:val="00CE63AA"/>
    <w:rsid w:val="00CE6484"/>
    <w:rsid w:val="00CE66CB"/>
    <w:rsid w:val="00CE6DE6"/>
    <w:rsid w:val="00CE6ECA"/>
    <w:rsid w:val="00CF0113"/>
    <w:rsid w:val="00CF068D"/>
    <w:rsid w:val="00CF09E3"/>
    <w:rsid w:val="00CF7620"/>
    <w:rsid w:val="00D00AD5"/>
    <w:rsid w:val="00D0201B"/>
    <w:rsid w:val="00D029E0"/>
    <w:rsid w:val="00D056DB"/>
    <w:rsid w:val="00D065C2"/>
    <w:rsid w:val="00D07DE9"/>
    <w:rsid w:val="00D13A05"/>
    <w:rsid w:val="00D14E1B"/>
    <w:rsid w:val="00D15BC5"/>
    <w:rsid w:val="00D201A6"/>
    <w:rsid w:val="00D2030E"/>
    <w:rsid w:val="00D21637"/>
    <w:rsid w:val="00D21757"/>
    <w:rsid w:val="00D21D55"/>
    <w:rsid w:val="00D22D7C"/>
    <w:rsid w:val="00D23277"/>
    <w:rsid w:val="00D2338E"/>
    <w:rsid w:val="00D279B2"/>
    <w:rsid w:val="00D27FFB"/>
    <w:rsid w:val="00D303C9"/>
    <w:rsid w:val="00D32412"/>
    <w:rsid w:val="00D3268F"/>
    <w:rsid w:val="00D33958"/>
    <w:rsid w:val="00D35AEC"/>
    <w:rsid w:val="00D42AE5"/>
    <w:rsid w:val="00D4728D"/>
    <w:rsid w:val="00D478C5"/>
    <w:rsid w:val="00D5208A"/>
    <w:rsid w:val="00D5420B"/>
    <w:rsid w:val="00D55103"/>
    <w:rsid w:val="00D5599E"/>
    <w:rsid w:val="00D61754"/>
    <w:rsid w:val="00D619B9"/>
    <w:rsid w:val="00D628A1"/>
    <w:rsid w:val="00D638BB"/>
    <w:rsid w:val="00D66D65"/>
    <w:rsid w:val="00D72708"/>
    <w:rsid w:val="00D7388C"/>
    <w:rsid w:val="00D743CA"/>
    <w:rsid w:val="00D7481B"/>
    <w:rsid w:val="00D74FB8"/>
    <w:rsid w:val="00D76797"/>
    <w:rsid w:val="00D801FD"/>
    <w:rsid w:val="00D82792"/>
    <w:rsid w:val="00D82DD6"/>
    <w:rsid w:val="00D91879"/>
    <w:rsid w:val="00D953A3"/>
    <w:rsid w:val="00D95AC6"/>
    <w:rsid w:val="00D962E4"/>
    <w:rsid w:val="00DA5E37"/>
    <w:rsid w:val="00DA77C4"/>
    <w:rsid w:val="00DB0EEE"/>
    <w:rsid w:val="00DB1A8C"/>
    <w:rsid w:val="00DC2F5A"/>
    <w:rsid w:val="00DC3240"/>
    <w:rsid w:val="00DC3754"/>
    <w:rsid w:val="00DC3E32"/>
    <w:rsid w:val="00DC3F5F"/>
    <w:rsid w:val="00DC66DC"/>
    <w:rsid w:val="00DD3C5E"/>
    <w:rsid w:val="00DD5A2E"/>
    <w:rsid w:val="00DD60AF"/>
    <w:rsid w:val="00DD6D62"/>
    <w:rsid w:val="00DE02DD"/>
    <w:rsid w:val="00DE059F"/>
    <w:rsid w:val="00DE062A"/>
    <w:rsid w:val="00DE22FE"/>
    <w:rsid w:val="00DE43A2"/>
    <w:rsid w:val="00DE6072"/>
    <w:rsid w:val="00DF089B"/>
    <w:rsid w:val="00DF0992"/>
    <w:rsid w:val="00DF168E"/>
    <w:rsid w:val="00DF35FA"/>
    <w:rsid w:val="00DF3C57"/>
    <w:rsid w:val="00DF54D7"/>
    <w:rsid w:val="00DF6086"/>
    <w:rsid w:val="00DF629F"/>
    <w:rsid w:val="00DF65CD"/>
    <w:rsid w:val="00DF6949"/>
    <w:rsid w:val="00E01470"/>
    <w:rsid w:val="00E019DA"/>
    <w:rsid w:val="00E04400"/>
    <w:rsid w:val="00E05266"/>
    <w:rsid w:val="00E07FDC"/>
    <w:rsid w:val="00E115E7"/>
    <w:rsid w:val="00E1305E"/>
    <w:rsid w:val="00E144FC"/>
    <w:rsid w:val="00E20FFC"/>
    <w:rsid w:val="00E219CB"/>
    <w:rsid w:val="00E2254D"/>
    <w:rsid w:val="00E22B49"/>
    <w:rsid w:val="00E2309F"/>
    <w:rsid w:val="00E24254"/>
    <w:rsid w:val="00E245A0"/>
    <w:rsid w:val="00E24A06"/>
    <w:rsid w:val="00E24BAE"/>
    <w:rsid w:val="00E24F8B"/>
    <w:rsid w:val="00E3249E"/>
    <w:rsid w:val="00E35157"/>
    <w:rsid w:val="00E36089"/>
    <w:rsid w:val="00E363A3"/>
    <w:rsid w:val="00E37187"/>
    <w:rsid w:val="00E40F24"/>
    <w:rsid w:val="00E417F1"/>
    <w:rsid w:val="00E428CA"/>
    <w:rsid w:val="00E43021"/>
    <w:rsid w:val="00E44C24"/>
    <w:rsid w:val="00E45921"/>
    <w:rsid w:val="00E4664D"/>
    <w:rsid w:val="00E471C8"/>
    <w:rsid w:val="00E47729"/>
    <w:rsid w:val="00E47996"/>
    <w:rsid w:val="00E47C09"/>
    <w:rsid w:val="00E50961"/>
    <w:rsid w:val="00E52237"/>
    <w:rsid w:val="00E522C1"/>
    <w:rsid w:val="00E53293"/>
    <w:rsid w:val="00E5364F"/>
    <w:rsid w:val="00E53F37"/>
    <w:rsid w:val="00E54636"/>
    <w:rsid w:val="00E5469A"/>
    <w:rsid w:val="00E559AC"/>
    <w:rsid w:val="00E55DE9"/>
    <w:rsid w:val="00E563CB"/>
    <w:rsid w:val="00E57E29"/>
    <w:rsid w:val="00E611BC"/>
    <w:rsid w:val="00E61301"/>
    <w:rsid w:val="00E61B01"/>
    <w:rsid w:val="00E6546E"/>
    <w:rsid w:val="00E70DBB"/>
    <w:rsid w:val="00E730ED"/>
    <w:rsid w:val="00E73339"/>
    <w:rsid w:val="00E76938"/>
    <w:rsid w:val="00E82F95"/>
    <w:rsid w:val="00E83CF8"/>
    <w:rsid w:val="00E84082"/>
    <w:rsid w:val="00E85AF4"/>
    <w:rsid w:val="00E925CF"/>
    <w:rsid w:val="00E92F53"/>
    <w:rsid w:val="00E94D51"/>
    <w:rsid w:val="00E9681B"/>
    <w:rsid w:val="00E97236"/>
    <w:rsid w:val="00EA12D4"/>
    <w:rsid w:val="00EA4AAE"/>
    <w:rsid w:val="00EA64C3"/>
    <w:rsid w:val="00EA77C2"/>
    <w:rsid w:val="00EB03EA"/>
    <w:rsid w:val="00EB149C"/>
    <w:rsid w:val="00EB1F57"/>
    <w:rsid w:val="00EB623D"/>
    <w:rsid w:val="00EC1F36"/>
    <w:rsid w:val="00EC2586"/>
    <w:rsid w:val="00EC2986"/>
    <w:rsid w:val="00EC4835"/>
    <w:rsid w:val="00EC5D98"/>
    <w:rsid w:val="00EC6F27"/>
    <w:rsid w:val="00ED0680"/>
    <w:rsid w:val="00ED566D"/>
    <w:rsid w:val="00ED7E61"/>
    <w:rsid w:val="00EE0C7F"/>
    <w:rsid w:val="00EE18B6"/>
    <w:rsid w:val="00EE28D4"/>
    <w:rsid w:val="00EE29A8"/>
    <w:rsid w:val="00EE487D"/>
    <w:rsid w:val="00EF0279"/>
    <w:rsid w:val="00EF108A"/>
    <w:rsid w:val="00EF1200"/>
    <w:rsid w:val="00EF229F"/>
    <w:rsid w:val="00EF7D44"/>
    <w:rsid w:val="00F009D1"/>
    <w:rsid w:val="00F03C7F"/>
    <w:rsid w:val="00F044CD"/>
    <w:rsid w:val="00F04B42"/>
    <w:rsid w:val="00F062EA"/>
    <w:rsid w:val="00F07944"/>
    <w:rsid w:val="00F1103B"/>
    <w:rsid w:val="00F11531"/>
    <w:rsid w:val="00F12F42"/>
    <w:rsid w:val="00F132AF"/>
    <w:rsid w:val="00F13E2D"/>
    <w:rsid w:val="00F14D4B"/>
    <w:rsid w:val="00F17CB7"/>
    <w:rsid w:val="00F2114B"/>
    <w:rsid w:val="00F22249"/>
    <w:rsid w:val="00F25223"/>
    <w:rsid w:val="00F252DF"/>
    <w:rsid w:val="00F25454"/>
    <w:rsid w:val="00F26E70"/>
    <w:rsid w:val="00F26FE4"/>
    <w:rsid w:val="00F276DC"/>
    <w:rsid w:val="00F2775D"/>
    <w:rsid w:val="00F318D5"/>
    <w:rsid w:val="00F32ACB"/>
    <w:rsid w:val="00F32E84"/>
    <w:rsid w:val="00F33CB5"/>
    <w:rsid w:val="00F343CE"/>
    <w:rsid w:val="00F35207"/>
    <w:rsid w:val="00F402E4"/>
    <w:rsid w:val="00F43943"/>
    <w:rsid w:val="00F449E6"/>
    <w:rsid w:val="00F50018"/>
    <w:rsid w:val="00F5394E"/>
    <w:rsid w:val="00F53A78"/>
    <w:rsid w:val="00F551C3"/>
    <w:rsid w:val="00F55599"/>
    <w:rsid w:val="00F5667F"/>
    <w:rsid w:val="00F6085A"/>
    <w:rsid w:val="00F6134B"/>
    <w:rsid w:val="00F625F4"/>
    <w:rsid w:val="00F63670"/>
    <w:rsid w:val="00F65DA1"/>
    <w:rsid w:val="00F662A7"/>
    <w:rsid w:val="00F66308"/>
    <w:rsid w:val="00F66A9F"/>
    <w:rsid w:val="00F67A60"/>
    <w:rsid w:val="00F71EAE"/>
    <w:rsid w:val="00F7448E"/>
    <w:rsid w:val="00F8080D"/>
    <w:rsid w:val="00F8179F"/>
    <w:rsid w:val="00F838BB"/>
    <w:rsid w:val="00F842E6"/>
    <w:rsid w:val="00F84A92"/>
    <w:rsid w:val="00F86D0A"/>
    <w:rsid w:val="00F913D5"/>
    <w:rsid w:val="00F942C2"/>
    <w:rsid w:val="00F94D5C"/>
    <w:rsid w:val="00F9650B"/>
    <w:rsid w:val="00FA33DF"/>
    <w:rsid w:val="00FA3FEF"/>
    <w:rsid w:val="00FA580C"/>
    <w:rsid w:val="00FA6174"/>
    <w:rsid w:val="00FB08BB"/>
    <w:rsid w:val="00FB15AC"/>
    <w:rsid w:val="00FB167F"/>
    <w:rsid w:val="00FB2CD9"/>
    <w:rsid w:val="00FB5229"/>
    <w:rsid w:val="00FB65F3"/>
    <w:rsid w:val="00FB7C44"/>
    <w:rsid w:val="00FC094C"/>
    <w:rsid w:val="00FC1CE1"/>
    <w:rsid w:val="00FC3D5E"/>
    <w:rsid w:val="00FC592F"/>
    <w:rsid w:val="00FC795D"/>
    <w:rsid w:val="00FC7F88"/>
    <w:rsid w:val="00FD0087"/>
    <w:rsid w:val="00FD32C3"/>
    <w:rsid w:val="00FD3470"/>
    <w:rsid w:val="00FD4A13"/>
    <w:rsid w:val="00FD69BF"/>
    <w:rsid w:val="00FE174A"/>
    <w:rsid w:val="00FE476A"/>
    <w:rsid w:val="00FE4922"/>
    <w:rsid w:val="00FE7534"/>
    <w:rsid w:val="00FE7AB1"/>
    <w:rsid w:val="00FF0873"/>
    <w:rsid w:val="00FF23C4"/>
    <w:rsid w:val="00FF435C"/>
    <w:rsid w:val="00FF5BFC"/>
    <w:rsid w:val="00FF67D9"/>
    <w:rsid w:val="00FF6BA8"/>
    <w:rsid w:val="00FF7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AE7F56"/>
  <w15:docId w15:val="{A7535233-366C-4EAA-8731-FB1760A1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C0C"/>
    <w:rPr>
      <w:sz w:val="24"/>
      <w:szCs w:val="24"/>
    </w:rPr>
  </w:style>
  <w:style w:type="paragraph" w:styleId="Titre1">
    <w:name w:val="heading 1"/>
    <w:basedOn w:val="Normal"/>
    <w:next w:val="Normal"/>
    <w:link w:val="Titre1Car"/>
    <w:uiPriority w:val="9"/>
    <w:qFormat/>
    <w:rsid w:val="00F9650B"/>
    <w:pPr>
      <w:pBdr>
        <w:bottom w:val="single" w:sz="4" w:space="1" w:color="000080"/>
      </w:pBdr>
      <w:outlineLvl w:val="0"/>
    </w:pPr>
    <w:rPr>
      <w:rFonts w:ascii="Verdana" w:hAnsi="Verdana" w:cs="Arial"/>
      <w:b/>
      <w:bCs/>
      <w:smallCaps/>
      <w:color w:val="000080"/>
      <w:kern w:val="32"/>
    </w:rPr>
  </w:style>
  <w:style w:type="paragraph" w:styleId="Titre2">
    <w:name w:val="heading 2"/>
    <w:basedOn w:val="Normal"/>
    <w:next w:val="Normal"/>
    <w:link w:val="Titre2Car"/>
    <w:uiPriority w:val="9"/>
    <w:qFormat/>
    <w:rsid w:val="00F9650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F9650B"/>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E428C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Titre5">
    <w:name w:val="heading 5"/>
    <w:basedOn w:val="Normal"/>
    <w:next w:val="Normal"/>
    <w:link w:val="Titre5Car"/>
    <w:uiPriority w:val="9"/>
    <w:qFormat/>
    <w:rsid w:val="00CA22E3"/>
    <w:pPr>
      <w:spacing w:before="240" w:after="60"/>
      <w:outlineLvl w:val="4"/>
    </w:pPr>
    <w:rPr>
      <w:b/>
      <w:bCs/>
      <w:i/>
      <w:iCs/>
      <w:sz w:val="26"/>
      <w:szCs w:val="26"/>
    </w:rPr>
  </w:style>
  <w:style w:type="paragraph" w:styleId="Titre6">
    <w:name w:val="heading 6"/>
    <w:basedOn w:val="Normal"/>
    <w:next w:val="Normal"/>
    <w:link w:val="Titre6Car"/>
    <w:semiHidden/>
    <w:unhideWhenUsed/>
    <w:qFormat/>
    <w:rsid w:val="0012341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1234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9650B"/>
    <w:pPr>
      <w:tabs>
        <w:tab w:val="center" w:pos="4536"/>
        <w:tab w:val="right" w:pos="9072"/>
      </w:tabs>
    </w:pPr>
  </w:style>
  <w:style w:type="character" w:styleId="Numrodepage">
    <w:name w:val="page number"/>
    <w:basedOn w:val="Policepardfaut"/>
    <w:rsid w:val="00F9650B"/>
  </w:style>
  <w:style w:type="paragraph" w:styleId="En-tte">
    <w:name w:val="header"/>
    <w:basedOn w:val="Normal"/>
    <w:link w:val="En-tteCar"/>
    <w:uiPriority w:val="99"/>
    <w:rsid w:val="00F9650B"/>
    <w:pPr>
      <w:tabs>
        <w:tab w:val="center" w:pos="4536"/>
        <w:tab w:val="right" w:pos="9072"/>
      </w:tabs>
    </w:pPr>
  </w:style>
  <w:style w:type="table" w:styleId="Grilledutableau">
    <w:name w:val="Table Grid"/>
    <w:basedOn w:val="TableauNormal"/>
    <w:uiPriority w:val="59"/>
    <w:rsid w:val="00F9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qFormat/>
    <w:rsid w:val="00F9650B"/>
    <w:rPr>
      <w:i/>
      <w:iCs/>
      <w:color w:val="808080"/>
    </w:rPr>
  </w:style>
  <w:style w:type="paragraph" w:customStyle="1" w:styleId="Style1">
    <w:name w:val="Style1"/>
    <w:basedOn w:val="Normal"/>
    <w:link w:val="Style1Car"/>
    <w:rsid w:val="00F9650B"/>
    <w:pPr>
      <w:spacing w:before="240" w:after="240"/>
    </w:pPr>
    <w:rPr>
      <w:rFonts w:ascii="Garamond" w:hAnsi="Garamond"/>
      <w:b/>
      <w:bCs/>
      <w:smallCaps/>
      <w:color w:val="999999"/>
      <w:sz w:val="28"/>
      <w:szCs w:val="32"/>
    </w:rPr>
  </w:style>
  <w:style w:type="paragraph" w:customStyle="1" w:styleId="Style2">
    <w:name w:val="Style2"/>
    <w:basedOn w:val="Normal"/>
    <w:link w:val="Style2Car"/>
    <w:rsid w:val="00F9650B"/>
    <w:pPr>
      <w:jc w:val="both"/>
    </w:pPr>
    <w:rPr>
      <w:rFonts w:ascii="Garamond" w:hAnsi="Garamond"/>
      <w:b/>
      <w:bCs/>
      <w:i/>
      <w:color w:val="000080"/>
    </w:rPr>
  </w:style>
  <w:style w:type="paragraph" w:customStyle="1" w:styleId="Style3">
    <w:name w:val="Style3"/>
    <w:basedOn w:val="Titre1"/>
    <w:link w:val="Style3Car"/>
    <w:rsid w:val="00F9650B"/>
    <w:pPr>
      <w:pBdr>
        <w:bottom w:val="single" w:sz="4" w:space="1" w:color="00437C"/>
      </w:pBdr>
      <w:tabs>
        <w:tab w:val="left" w:pos="8445"/>
      </w:tabs>
    </w:pPr>
    <w:rPr>
      <w:rFonts w:ascii="Garamond" w:hAnsi="Garamond"/>
      <w:color w:val="00437C"/>
    </w:rPr>
  </w:style>
  <w:style w:type="character" w:customStyle="1" w:styleId="Titre1Car">
    <w:name w:val="Titre 1 Car"/>
    <w:basedOn w:val="Policepardfaut"/>
    <w:link w:val="Titre1"/>
    <w:uiPriority w:val="9"/>
    <w:rsid w:val="00F9650B"/>
    <w:rPr>
      <w:rFonts w:ascii="Verdana" w:hAnsi="Verdana" w:cs="Arial"/>
      <w:b/>
      <w:bCs/>
      <w:smallCaps/>
      <w:color w:val="000080"/>
      <w:kern w:val="32"/>
      <w:sz w:val="24"/>
      <w:szCs w:val="24"/>
      <w:lang w:val="fr-FR" w:eastAsia="fr-FR" w:bidi="ar-SA"/>
    </w:rPr>
  </w:style>
  <w:style w:type="character" w:customStyle="1" w:styleId="Style3Car">
    <w:name w:val="Style3 Car"/>
    <w:basedOn w:val="Titre1Car"/>
    <w:link w:val="Style3"/>
    <w:rsid w:val="00F9650B"/>
    <w:rPr>
      <w:rFonts w:ascii="Garamond" w:hAnsi="Garamond" w:cs="Arial"/>
      <w:b/>
      <w:bCs/>
      <w:smallCaps/>
      <w:color w:val="00437C"/>
      <w:kern w:val="32"/>
      <w:sz w:val="24"/>
      <w:szCs w:val="24"/>
      <w:lang w:val="fr-FR" w:eastAsia="fr-FR" w:bidi="ar-SA"/>
    </w:rPr>
  </w:style>
  <w:style w:type="character" w:customStyle="1" w:styleId="Style2Car">
    <w:name w:val="Style2 Car"/>
    <w:basedOn w:val="Policepardfaut"/>
    <w:link w:val="Style2"/>
    <w:rsid w:val="00F9650B"/>
    <w:rPr>
      <w:rFonts w:ascii="Garamond" w:hAnsi="Garamond"/>
      <w:b/>
      <w:bCs/>
      <w:i/>
      <w:color w:val="000080"/>
      <w:sz w:val="24"/>
      <w:szCs w:val="24"/>
      <w:lang w:val="fr-FR" w:eastAsia="fr-FR" w:bidi="ar-SA"/>
    </w:rPr>
  </w:style>
  <w:style w:type="character" w:customStyle="1" w:styleId="Style1Car">
    <w:name w:val="Style1 Car"/>
    <w:basedOn w:val="Policepardfaut"/>
    <w:link w:val="Style1"/>
    <w:rsid w:val="00F9650B"/>
    <w:rPr>
      <w:rFonts w:ascii="Garamond" w:hAnsi="Garamond"/>
      <w:b/>
      <w:bCs/>
      <w:smallCaps/>
      <w:color w:val="999999"/>
      <w:sz w:val="28"/>
      <w:szCs w:val="32"/>
      <w:lang w:val="fr-FR" w:eastAsia="fr-FR" w:bidi="ar-SA"/>
    </w:rPr>
  </w:style>
  <w:style w:type="paragraph" w:styleId="TM1">
    <w:name w:val="toc 1"/>
    <w:basedOn w:val="Normal"/>
    <w:next w:val="Normal"/>
    <w:autoRedefine/>
    <w:uiPriority w:val="39"/>
    <w:rsid w:val="00550C7C"/>
    <w:pPr>
      <w:tabs>
        <w:tab w:val="right" w:leader="dot" w:pos="9062"/>
      </w:tabs>
    </w:pPr>
    <w:rPr>
      <w:rFonts w:ascii="Garamond" w:hAnsi="Garamond"/>
      <w:noProof/>
      <w:color w:val="C0C0C0"/>
      <w:sz w:val="26"/>
      <w:szCs w:val="26"/>
    </w:rPr>
  </w:style>
  <w:style w:type="paragraph" w:styleId="TM2">
    <w:name w:val="toc 2"/>
    <w:basedOn w:val="Normal"/>
    <w:next w:val="Normal"/>
    <w:autoRedefine/>
    <w:uiPriority w:val="39"/>
    <w:rsid w:val="003F1212"/>
    <w:pPr>
      <w:tabs>
        <w:tab w:val="left" w:pos="880"/>
        <w:tab w:val="right" w:leader="dot" w:pos="9338"/>
      </w:tabs>
      <w:ind w:left="240"/>
      <w:jc w:val="both"/>
    </w:pPr>
  </w:style>
  <w:style w:type="character" w:styleId="Lienhypertexte">
    <w:name w:val="Hyperlink"/>
    <w:basedOn w:val="Policepardfaut"/>
    <w:uiPriority w:val="99"/>
    <w:rsid w:val="00F9650B"/>
    <w:rPr>
      <w:color w:val="0000FF"/>
      <w:u w:val="single"/>
    </w:rPr>
  </w:style>
  <w:style w:type="character" w:styleId="Marquedecommentaire">
    <w:name w:val="annotation reference"/>
    <w:basedOn w:val="Policepardfaut"/>
    <w:uiPriority w:val="99"/>
    <w:rsid w:val="009E6530"/>
    <w:rPr>
      <w:sz w:val="16"/>
      <w:szCs w:val="16"/>
    </w:rPr>
  </w:style>
  <w:style w:type="paragraph" w:styleId="Commentaire">
    <w:name w:val="annotation text"/>
    <w:basedOn w:val="Normal"/>
    <w:link w:val="CommentaireCar"/>
    <w:uiPriority w:val="99"/>
    <w:rsid w:val="009E6530"/>
    <w:rPr>
      <w:sz w:val="20"/>
      <w:szCs w:val="20"/>
    </w:rPr>
  </w:style>
  <w:style w:type="paragraph" w:styleId="Objetducommentaire">
    <w:name w:val="annotation subject"/>
    <w:basedOn w:val="Commentaire"/>
    <w:next w:val="Commentaire"/>
    <w:link w:val="ObjetducommentaireCar"/>
    <w:uiPriority w:val="99"/>
    <w:semiHidden/>
    <w:rsid w:val="009E6530"/>
    <w:rPr>
      <w:b/>
      <w:bCs/>
    </w:rPr>
  </w:style>
  <w:style w:type="paragraph" w:styleId="Textedebulles">
    <w:name w:val="Balloon Text"/>
    <w:basedOn w:val="Normal"/>
    <w:link w:val="TextedebullesCar"/>
    <w:uiPriority w:val="99"/>
    <w:semiHidden/>
    <w:rsid w:val="009E6530"/>
    <w:rPr>
      <w:rFonts w:ascii="Tahoma" w:hAnsi="Tahoma" w:cs="Tahoma"/>
      <w:sz w:val="16"/>
      <w:szCs w:val="16"/>
    </w:rPr>
  </w:style>
  <w:style w:type="paragraph" w:styleId="Sansinterligne">
    <w:name w:val="No Spacing"/>
    <w:aliases w:val="Commentaires,Commentaire AGAMA"/>
    <w:uiPriority w:val="1"/>
    <w:qFormat/>
    <w:rsid w:val="00342C3D"/>
    <w:rPr>
      <w:rFonts w:ascii="Calibri" w:eastAsia="Calibri" w:hAnsi="Calibri"/>
      <w:sz w:val="22"/>
      <w:szCs w:val="22"/>
      <w:lang w:eastAsia="en-US"/>
    </w:rPr>
  </w:style>
  <w:style w:type="paragraph" w:styleId="Paragraphedeliste">
    <w:name w:val="List Paragraph"/>
    <w:basedOn w:val="Normal"/>
    <w:link w:val="ParagraphedelisteCar"/>
    <w:uiPriority w:val="1"/>
    <w:qFormat/>
    <w:rsid w:val="00A73E96"/>
    <w:pPr>
      <w:ind w:left="708"/>
    </w:pPr>
  </w:style>
  <w:style w:type="character" w:styleId="Lienhypertextesuivivisit">
    <w:name w:val="FollowedHyperlink"/>
    <w:basedOn w:val="Policepardfaut"/>
    <w:uiPriority w:val="99"/>
    <w:rsid w:val="00484B58"/>
    <w:rPr>
      <w:color w:val="800080"/>
      <w:u w:val="single"/>
    </w:rPr>
  </w:style>
  <w:style w:type="paragraph" w:styleId="Notedebasdepage">
    <w:name w:val="footnote text"/>
    <w:basedOn w:val="Normal"/>
    <w:link w:val="NotedebasdepageCar"/>
    <w:uiPriority w:val="99"/>
    <w:rsid w:val="00847211"/>
    <w:rPr>
      <w:sz w:val="20"/>
      <w:szCs w:val="20"/>
    </w:rPr>
  </w:style>
  <w:style w:type="character" w:customStyle="1" w:styleId="NotedebasdepageCar">
    <w:name w:val="Note de bas de page Car"/>
    <w:basedOn w:val="Policepardfaut"/>
    <w:link w:val="Notedebasdepage"/>
    <w:uiPriority w:val="99"/>
    <w:rsid w:val="00847211"/>
  </w:style>
  <w:style w:type="character" w:styleId="Appelnotedebasdep">
    <w:name w:val="footnote reference"/>
    <w:basedOn w:val="Policepardfaut"/>
    <w:rsid w:val="00847211"/>
    <w:rPr>
      <w:vertAlign w:val="superscript"/>
    </w:rPr>
  </w:style>
  <w:style w:type="character" w:customStyle="1" w:styleId="CommentaireCar">
    <w:name w:val="Commentaire Car"/>
    <w:basedOn w:val="Policepardfaut"/>
    <w:link w:val="Commentaire"/>
    <w:uiPriority w:val="99"/>
    <w:rsid w:val="00CE00A0"/>
  </w:style>
  <w:style w:type="character" w:customStyle="1" w:styleId="Titre5Car">
    <w:name w:val="Titre 5 Car"/>
    <w:basedOn w:val="Policepardfaut"/>
    <w:link w:val="Titre5"/>
    <w:uiPriority w:val="9"/>
    <w:rsid w:val="00CA22E3"/>
    <w:rPr>
      <w:b/>
      <w:bCs/>
      <w:i/>
      <w:iCs/>
      <w:sz w:val="26"/>
      <w:szCs w:val="26"/>
    </w:rPr>
  </w:style>
  <w:style w:type="paragraph" w:customStyle="1" w:styleId="Default">
    <w:name w:val="Default"/>
    <w:rsid w:val="001779B1"/>
    <w:pPr>
      <w:autoSpaceDE w:val="0"/>
      <w:autoSpaceDN w:val="0"/>
      <w:adjustRightInd w:val="0"/>
    </w:pPr>
    <w:rPr>
      <w:color w:val="000000"/>
      <w:sz w:val="24"/>
      <w:szCs w:val="24"/>
    </w:rPr>
  </w:style>
  <w:style w:type="character" w:customStyle="1" w:styleId="A3">
    <w:name w:val="A3"/>
    <w:basedOn w:val="Policepardfaut"/>
    <w:uiPriority w:val="99"/>
    <w:rsid w:val="00FA6174"/>
    <w:rPr>
      <w:rFonts w:ascii="Futura LT" w:hAnsi="Futura LT" w:hint="default"/>
      <w:b/>
      <w:bCs/>
      <w:color w:val="000000"/>
    </w:rPr>
  </w:style>
  <w:style w:type="paragraph" w:customStyle="1" w:styleId="Pa2">
    <w:name w:val="Pa2"/>
    <w:basedOn w:val="Normal"/>
    <w:uiPriority w:val="99"/>
    <w:rsid w:val="00FA6174"/>
    <w:pPr>
      <w:autoSpaceDE w:val="0"/>
      <w:autoSpaceDN w:val="0"/>
      <w:spacing w:line="201" w:lineRule="atLeast"/>
    </w:pPr>
    <w:rPr>
      <w:rFonts w:ascii="Futura LT" w:eastAsiaTheme="minorHAnsi" w:hAnsi="Futura LT"/>
      <w:lang w:eastAsia="en-US"/>
    </w:rPr>
  </w:style>
  <w:style w:type="paragraph" w:customStyle="1" w:styleId="Pa4">
    <w:name w:val="Pa4"/>
    <w:basedOn w:val="Normal"/>
    <w:uiPriority w:val="99"/>
    <w:rsid w:val="00FA6174"/>
    <w:pPr>
      <w:autoSpaceDE w:val="0"/>
      <w:autoSpaceDN w:val="0"/>
      <w:spacing w:line="201" w:lineRule="atLeast"/>
    </w:pPr>
    <w:rPr>
      <w:rFonts w:ascii="Futura LT" w:eastAsiaTheme="minorHAnsi" w:hAnsi="Futura LT"/>
      <w:lang w:eastAsia="en-US"/>
    </w:rPr>
  </w:style>
  <w:style w:type="character" w:customStyle="1" w:styleId="A4">
    <w:name w:val="A4"/>
    <w:basedOn w:val="Policepardfaut"/>
    <w:uiPriority w:val="99"/>
    <w:rsid w:val="00FA6174"/>
    <w:rPr>
      <w:rFonts w:ascii="Futura LT" w:hAnsi="Futura LT" w:hint="default"/>
      <w:b/>
      <w:bCs/>
      <w:color w:val="000000"/>
    </w:rPr>
  </w:style>
  <w:style w:type="character" w:customStyle="1" w:styleId="Titre7Car">
    <w:name w:val="Titre 7 Car"/>
    <w:basedOn w:val="Policepardfaut"/>
    <w:link w:val="Titre7"/>
    <w:semiHidden/>
    <w:rsid w:val="0012341C"/>
    <w:rPr>
      <w:rFonts w:asciiTheme="majorHAnsi" w:eastAsiaTheme="majorEastAsia" w:hAnsiTheme="majorHAnsi" w:cstheme="majorBidi"/>
      <w:i/>
      <w:iCs/>
      <w:color w:val="404040" w:themeColor="text1" w:themeTint="BF"/>
      <w:sz w:val="24"/>
      <w:szCs w:val="24"/>
    </w:rPr>
  </w:style>
  <w:style w:type="paragraph" w:styleId="Sous-titre">
    <w:name w:val="Subtitle"/>
    <w:basedOn w:val="Normal"/>
    <w:next w:val="Normal"/>
    <w:link w:val="Sous-titreCar"/>
    <w:uiPriority w:val="11"/>
    <w:qFormat/>
    <w:rsid w:val="0012341C"/>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ous-titreCar">
    <w:name w:val="Sous-titre Car"/>
    <w:basedOn w:val="Policepardfaut"/>
    <w:link w:val="Sous-titre"/>
    <w:uiPriority w:val="11"/>
    <w:rsid w:val="0012341C"/>
    <w:rPr>
      <w:rFonts w:asciiTheme="minorHAnsi" w:eastAsiaTheme="majorEastAsia" w:hAnsiTheme="minorHAnsi" w:cstheme="majorBidi"/>
      <w:iCs/>
      <w:color w:val="000000" w:themeColor="text1"/>
      <w:spacing w:val="15"/>
      <w:sz w:val="24"/>
      <w:szCs w:val="24"/>
    </w:rPr>
  </w:style>
  <w:style w:type="character" w:customStyle="1" w:styleId="Titre6Car">
    <w:name w:val="Titre 6 Car"/>
    <w:basedOn w:val="Policepardfaut"/>
    <w:link w:val="Titre6"/>
    <w:semiHidden/>
    <w:rsid w:val="0012341C"/>
    <w:rPr>
      <w:rFonts w:asciiTheme="majorHAnsi" w:eastAsiaTheme="majorEastAsia" w:hAnsiTheme="majorHAnsi" w:cstheme="majorBidi"/>
      <w:i/>
      <w:iCs/>
      <w:color w:val="243F60" w:themeColor="accent1" w:themeShade="7F"/>
      <w:sz w:val="24"/>
      <w:szCs w:val="24"/>
    </w:rPr>
  </w:style>
  <w:style w:type="paragraph" w:customStyle="1" w:styleId="Style0">
    <w:name w:val="Style0"/>
    <w:basedOn w:val="Titre"/>
    <w:link w:val="Style0Car"/>
    <w:qFormat/>
    <w:rsid w:val="001B62A4"/>
    <w:pPr>
      <w:pBdr>
        <w:top w:val="single" w:sz="4" w:space="1" w:color="auto"/>
        <w:left w:val="single" w:sz="4" w:space="4" w:color="auto"/>
        <w:bottom w:val="single" w:sz="4" w:space="1" w:color="auto"/>
        <w:right w:val="single" w:sz="4" w:space="4" w:color="auto"/>
      </w:pBdr>
      <w:contextualSpacing w:val="0"/>
      <w:jc w:val="center"/>
    </w:pPr>
    <w:rPr>
      <w:rFonts w:ascii="Garamond" w:hAnsi="Garamond"/>
      <w:b/>
      <w:color w:val="999999"/>
      <w:sz w:val="40"/>
      <w:szCs w:val="40"/>
    </w:rPr>
  </w:style>
  <w:style w:type="character" w:customStyle="1" w:styleId="Style0Car">
    <w:name w:val="Style0 Car"/>
    <w:basedOn w:val="TitreCar"/>
    <w:link w:val="Style0"/>
    <w:rsid w:val="001B62A4"/>
    <w:rPr>
      <w:rFonts w:ascii="Garamond" w:eastAsiaTheme="majorEastAsia" w:hAnsi="Garamond" w:cstheme="majorBidi"/>
      <w:b/>
      <w:color w:val="999999"/>
      <w:spacing w:val="-10"/>
      <w:kern w:val="28"/>
      <w:sz w:val="40"/>
      <w:szCs w:val="40"/>
    </w:rPr>
  </w:style>
  <w:style w:type="paragraph" w:styleId="Titre">
    <w:name w:val="Title"/>
    <w:aliases w:val="Annexe"/>
    <w:basedOn w:val="Normal"/>
    <w:next w:val="Normal"/>
    <w:link w:val="TitreCar"/>
    <w:qFormat/>
    <w:rsid w:val="001B62A4"/>
    <w:pPr>
      <w:contextualSpacing/>
    </w:pPr>
    <w:rPr>
      <w:rFonts w:asciiTheme="majorHAnsi" w:eastAsiaTheme="majorEastAsia" w:hAnsiTheme="majorHAnsi" w:cstheme="majorBidi"/>
      <w:spacing w:val="-10"/>
      <w:kern w:val="28"/>
      <w:sz w:val="56"/>
      <w:szCs w:val="56"/>
    </w:rPr>
  </w:style>
  <w:style w:type="character" w:customStyle="1" w:styleId="TitreCar">
    <w:name w:val="Titre Car"/>
    <w:aliases w:val="Annexe Car"/>
    <w:basedOn w:val="Policepardfaut"/>
    <w:link w:val="Titre"/>
    <w:rsid w:val="001B62A4"/>
    <w:rPr>
      <w:rFonts w:asciiTheme="majorHAnsi" w:eastAsiaTheme="majorEastAsia" w:hAnsiTheme="majorHAnsi" w:cstheme="majorBidi"/>
      <w:spacing w:val="-10"/>
      <w:kern w:val="28"/>
      <w:sz w:val="56"/>
      <w:szCs w:val="56"/>
    </w:rPr>
  </w:style>
  <w:style w:type="character" w:styleId="lev">
    <w:name w:val="Strong"/>
    <w:uiPriority w:val="22"/>
    <w:qFormat/>
    <w:rsid w:val="00B72A06"/>
    <w:rPr>
      <w:b/>
      <w:bCs/>
    </w:rPr>
  </w:style>
  <w:style w:type="paragraph" w:styleId="Rvision">
    <w:name w:val="Revision"/>
    <w:hidden/>
    <w:uiPriority w:val="99"/>
    <w:semiHidden/>
    <w:rsid w:val="00AC5CC2"/>
    <w:rPr>
      <w:sz w:val="24"/>
      <w:szCs w:val="24"/>
    </w:rPr>
  </w:style>
  <w:style w:type="paragraph" w:styleId="Corpsdetexte2">
    <w:name w:val="Body Text 2"/>
    <w:basedOn w:val="Normal"/>
    <w:link w:val="Corpsdetexte2Car"/>
    <w:rsid w:val="00AE741D"/>
    <w:pPr>
      <w:overflowPunct w:val="0"/>
      <w:autoSpaceDE w:val="0"/>
      <w:autoSpaceDN w:val="0"/>
      <w:adjustRightInd w:val="0"/>
      <w:jc w:val="both"/>
      <w:textAlignment w:val="baseline"/>
    </w:pPr>
    <w:rPr>
      <w:color w:val="000000"/>
      <w:sz w:val="20"/>
      <w:szCs w:val="20"/>
      <w:lang w:eastAsia="en-US"/>
    </w:rPr>
  </w:style>
  <w:style w:type="character" w:customStyle="1" w:styleId="Corpsdetexte2Car">
    <w:name w:val="Corps de texte 2 Car"/>
    <w:basedOn w:val="Policepardfaut"/>
    <w:link w:val="Corpsdetexte2"/>
    <w:rsid w:val="00AE741D"/>
    <w:rPr>
      <w:color w:val="000000"/>
      <w:lang w:eastAsia="en-US"/>
    </w:rPr>
  </w:style>
  <w:style w:type="character" w:customStyle="1" w:styleId="hps">
    <w:name w:val="hps"/>
    <w:basedOn w:val="Policepardfaut"/>
    <w:rsid w:val="00F63670"/>
  </w:style>
  <w:style w:type="paragraph" w:styleId="NormalWeb">
    <w:name w:val="Normal (Web)"/>
    <w:basedOn w:val="Normal"/>
    <w:uiPriority w:val="99"/>
    <w:unhideWhenUsed/>
    <w:rsid w:val="00065946"/>
    <w:pPr>
      <w:spacing w:before="100" w:beforeAutospacing="1" w:after="100" w:afterAutospacing="1"/>
    </w:pPr>
  </w:style>
  <w:style w:type="character" w:customStyle="1" w:styleId="ParagraphedelisteCar">
    <w:name w:val="Paragraphe de liste Car"/>
    <w:link w:val="Paragraphedeliste"/>
    <w:uiPriority w:val="34"/>
    <w:rsid w:val="007C1091"/>
    <w:rPr>
      <w:sz w:val="24"/>
      <w:szCs w:val="24"/>
    </w:rPr>
  </w:style>
  <w:style w:type="paragraph" w:customStyle="1" w:styleId="T1modleAGAMA">
    <w:name w:val="T1modèleAGAMA"/>
    <w:basedOn w:val="Normal"/>
    <w:qFormat/>
    <w:rsid w:val="007C1091"/>
    <w:pPr>
      <w:numPr>
        <w:numId w:val="1"/>
      </w:numPr>
      <w:pBdr>
        <w:bottom w:val="single" w:sz="4" w:space="1" w:color="auto"/>
      </w:pBdr>
    </w:pPr>
    <w:rPr>
      <w:rFonts w:ascii="Calibri" w:hAnsi="Calibri" w:cs="Tahoma"/>
      <w:b/>
      <w:sz w:val="22"/>
      <w:szCs w:val="26"/>
    </w:rPr>
  </w:style>
  <w:style w:type="paragraph" w:customStyle="1" w:styleId="T2modleAGAMA">
    <w:name w:val="T2modèleAGAMA"/>
    <w:basedOn w:val="Paragraphedeliste"/>
    <w:link w:val="T2modleAGAMACar"/>
    <w:autoRedefine/>
    <w:qFormat/>
    <w:rsid w:val="00DF35FA"/>
    <w:pPr>
      <w:numPr>
        <w:numId w:val="19"/>
      </w:numPr>
      <w:autoSpaceDE w:val="0"/>
      <w:autoSpaceDN w:val="0"/>
      <w:adjustRightInd w:val="0"/>
      <w:contextualSpacing/>
      <w:jc w:val="both"/>
      <w:outlineLvl w:val="1"/>
    </w:pPr>
    <w:rPr>
      <w:rFonts w:ascii="Garamond" w:eastAsiaTheme="minorEastAsia" w:hAnsi="Garamond" w:cstheme="minorBidi"/>
      <w:b/>
    </w:rPr>
  </w:style>
  <w:style w:type="character" w:customStyle="1" w:styleId="T2modleAGAMACar">
    <w:name w:val="T2modèleAGAMA Car"/>
    <w:basedOn w:val="ParagraphedelisteCar"/>
    <w:link w:val="T2modleAGAMA"/>
    <w:rsid w:val="00DF35FA"/>
    <w:rPr>
      <w:rFonts w:ascii="Garamond" w:eastAsiaTheme="minorEastAsia" w:hAnsi="Garamond" w:cstheme="minorBidi"/>
      <w:b/>
      <w:sz w:val="24"/>
      <w:szCs w:val="24"/>
    </w:rPr>
  </w:style>
  <w:style w:type="paragraph" w:customStyle="1" w:styleId="T3modleAGAMA">
    <w:name w:val="T3modèleAGAMA"/>
    <w:basedOn w:val="Paragraphedeliste"/>
    <w:link w:val="T3modleAGAMACar"/>
    <w:autoRedefine/>
    <w:qFormat/>
    <w:rsid w:val="00433157"/>
    <w:pPr>
      <w:numPr>
        <w:numId w:val="2"/>
      </w:numPr>
      <w:autoSpaceDE w:val="0"/>
      <w:autoSpaceDN w:val="0"/>
      <w:adjustRightInd w:val="0"/>
      <w:spacing w:after="200" w:line="276" w:lineRule="auto"/>
      <w:contextualSpacing/>
      <w:jc w:val="both"/>
    </w:pPr>
    <w:rPr>
      <w:rFonts w:ascii="Garamond" w:eastAsiaTheme="minorEastAsia" w:hAnsi="Garamond" w:cstheme="minorBidi"/>
      <w:color w:val="000000" w:themeColor="text1"/>
      <w:u w:val="single"/>
    </w:rPr>
  </w:style>
  <w:style w:type="character" w:customStyle="1" w:styleId="T3modleAGAMACar">
    <w:name w:val="T3modèleAGAMA Car"/>
    <w:basedOn w:val="ParagraphedelisteCar"/>
    <w:link w:val="T3modleAGAMA"/>
    <w:rsid w:val="00433157"/>
    <w:rPr>
      <w:rFonts w:ascii="Garamond" w:eastAsiaTheme="minorEastAsia" w:hAnsi="Garamond" w:cstheme="minorBidi"/>
      <w:color w:val="000000" w:themeColor="text1"/>
      <w:sz w:val="24"/>
      <w:szCs w:val="24"/>
      <w:u w:val="single"/>
    </w:rPr>
  </w:style>
  <w:style w:type="character" w:customStyle="1" w:styleId="Titre4Car">
    <w:name w:val="Titre 4 Car"/>
    <w:basedOn w:val="Policepardfaut"/>
    <w:link w:val="Titre4"/>
    <w:uiPriority w:val="9"/>
    <w:semiHidden/>
    <w:rsid w:val="00E428CA"/>
    <w:rPr>
      <w:rFonts w:asciiTheme="majorHAnsi" w:eastAsiaTheme="majorEastAsia" w:hAnsiTheme="majorHAnsi" w:cstheme="majorBidi"/>
      <w:i/>
      <w:iCs/>
      <w:color w:val="365F91" w:themeColor="accent1" w:themeShade="BF"/>
      <w:sz w:val="22"/>
      <w:szCs w:val="22"/>
    </w:rPr>
  </w:style>
  <w:style w:type="character" w:customStyle="1" w:styleId="Titre2Car">
    <w:name w:val="Titre 2 Car"/>
    <w:basedOn w:val="Policepardfaut"/>
    <w:link w:val="Titre2"/>
    <w:uiPriority w:val="9"/>
    <w:rsid w:val="00E428CA"/>
    <w:rPr>
      <w:rFonts w:ascii="Arial" w:hAnsi="Arial" w:cs="Arial"/>
      <w:b/>
      <w:bCs/>
      <w:i/>
      <w:iCs/>
      <w:sz w:val="28"/>
      <w:szCs w:val="28"/>
    </w:rPr>
  </w:style>
  <w:style w:type="character" w:customStyle="1" w:styleId="Titre3Car">
    <w:name w:val="Titre 3 Car"/>
    <w:basedOn w:val="Policepardfaut"/>
    <w:link w:val="Titre3"/>
    <w:uiPriority w:val="9"/>
    <w:rsid w:val="00E428CA"/>
    <w:rPr>
      <w:rFonts w:ascii="Arial" w:hAnsi="Arial" w:cs="Arial"/>
      <w:b/>
      <w:bCs/>
      <w:sz w:val="26"/>
      <w:szCs w:val="26"/>
    </w:rPr>
  </w:style>
  <w:style w:type="character" w:customStyle="1" w:styleId="En-tteCar">
    <w:name w:val="En-tête Car"/>
    <w:basedOn w:val="Policepardfaut"/>
    <w:link w:val="En-tte"/>
    <w:uiPriority w:val="99"/>
    <w:rsid w:val="00E428CA"/>
    <w:rPr>
      <w:sz w:val="24"/>
      <w:szCs w:val="24"/>
    </w:rPr>
  </w:style>
  <w:style w:type="paragraph" w:styleId="En-ttedetabledesmatires">
    <w:name w:val="TOC Heading"/>
    <w:basedOn w:val="Titre1"/>
    <w:next w:val="Normal"/>
    <w:uiPriority w:val="39"/>
    <w:unhideWhenUsed/>
    <w:qFormat/>
    <w:rsid w:val="00E428CA"/>
    <w:pPr>
      <w:keepNext/>
      <w:keepLines/>
      <w:pBdr>
        <w:bottom w:val="none" w:sz="0" w:space="0" w:color="auto"/>
      </w:pBdr>
      <w:spacing w:before="480" w:line="276" w:lineRule="auto"/>
      <w:outlineLvl w:val="9"/>
    </w:pPr>
    <w:rPr>
      <w:rFonts w:asciiTheme="majorHAnsi" w:eastAsiaTheme="majorEastAsia" w:hAnsiTheme="majorHAnsi" w:cstheme="majorBidi"/>
      <w:smallCaps w:val="0"/>
      <w:color w:val="365F91" w:themeColor="accent1" w:themeShade="BF"/>
      <w:kern w:val="0"/>
      <w:sz w:val="28"/>
      <w:szCs w:val="28"/>
    </w:rPr>
  </w:style>
  <w:style w:type="character" w:customStyle="1" w:styleId="TextedebullesCar">
    <w:name w:val="Texte de bulles Car"/>
    <w:basedOn w:val="Policepardfaut"/>
    <w:link w:val="Textedebulles"/>
    <w:uiPriority w:val="99"/>
    <w:semiHidden/>
    <w:rsid w:val="00E428CA"/>
    <w:rPr>
      <w:rFonts w:ascii="Tahoma" w:hAnsi="Tahoma" w:cs="Tahoma"/>
      <w:sz w:val="16"/>
      <w:szCs w:val="16"/>
    </w:rPr>
  </w:style>
  <w:style w:type="character" w:customStyle="1" w:styleId="apple-converted-space">
    <w:name w:val="apple-converted-space"/>
    <w:basedOn w:val="Policepardfaut"/>
    <w:rsid w:val="00E428CA"/>
  </w:style>
  <w:style w:type="paragraph" w:styleId="TM3">
    <w:name w:val="toc 3"/>
    <w:basedOn w:val="Normal"/>
    <w:next w:val="Normal"/>
    <w:autoRedefine/>
    <w:uiPriority w:val="39"/>
    <w:unhideWhenUsed/>
    <w:rsid w:val="00E428CA"/>
    <w:pPr>
      <w:spacing w:after="100" w:line="276" w:lineRule="auto"/>
      <w:ind w:left="440"/>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E428CA"/>
    <w:rPr>
      <w:sz w:val="24"/>
      <w:szCs w:val="24"/>
    </w:rPr>
  </w:style>
  <w:style w:type="table" w:customStyle="1" w:styleId="Grilledutableau1">
    <w:name w:val="Grille du tableau1"/>
    <w:basedOn w:val="TableauNormal"/>
    <w:next w:val="Grilledutableau"/>
    <w:uiPriority w:val="59"/>
    <w:rsid w:val="00E4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tducommentaireCar">
    <w:name w:val="Objet du commentaire Car"/>
    <w:basedOn w:val="CommentaireCar"/>
    <w:link w:val="Objetducommentaire"/>
    <w:uiPriority w:val="99"/>
    <w:semiHidden/>
    <w:rsid w:val="00E428CA"/>
    <w:rPr>
      <w:b/>
      <w:bCs/>
    </w:rPr>
  </w:style>
  <w:style w:type="character" w:customStyle="1" w:styleId="Date1">
    <w:name w:val="Date1"/>
    <w:rsid w:val="00E428CA"/>
  </w:style>
  <w:style w:type="paragraph" w:styleId="Notedefin">
    <w:name w:val="endnote text"/>
    <w:basedOn w:val="Normal"/>
    <w:link w:val="NotedefinCar"/>
    <w:uiPriority w:val="99"/>
    <w:semiHidden/>
    <w:unhideWhenUsed/>
    <w:rsid w:val="00E428CA"/>
    <w:rPr>
      <w:rFonts w:asciiTheme="minorHAnsi" w:eastAsiaTheme="minorEastAsia" w:hAnsiTheme="minorHAnsi" w:cstheme="minorBidi"/>
      <w:sz w:val="20"/>
      <w:szCs w:val="20"/>
    </w:rPr>
  </w:style>
  <w:style w:type="character" w:customStyle="1" w:styleId="NotedefinCar">
    <w:name w:val="Note de fin Car"/>
    <w:basedOn w:val="Policepardfaut"/>
    <w:link w:val="Notedefin"/>
    <w:uiPriority w:val="99"/>
    <w:semiHidden/>
    <w:rsid w:val="00E428CA"/>
    <w:rPr>
      <w:rFonts w:asciiTheme="minorHAnsi" w:eastAsiaTheme="minorEastAsia" w:hAnsiTheme="minorHAnsi" w:cstheme="minorBidi"/>
    </w:rPr>
  </w:style>
  <w:style w:type="character" w:styleId="Appeldenotedefin">
    <w:name w:val="endnote reference"/>
    <w:basedOn w:val="Policepardfaut"/>
    <w:uiPriority w:val="99"/>
    <w:semiHidden/>
    <w:unhideWhenUsed/>
    <w:rsid w:val="00E428CA"/>
    <w:rPr>
      <w:vertAlign w:val="superscript"/>
    </w:rPr>
  </w:style>
  <w:style w:type="character" w:customStyle="1" w:styleId="titre2-ADVENTCar">
    <w:name w:val="titre 2 - ADVENT Car"/>
    <w:basedOn w:val="Policepardfaut"/>
    <w:link w:val="titre2-ADVENT"/>
    <w:locked/>
    <w:rsid w:val="00E428CA"/>
    <w:rPr>
      <w:rFonts w:ascii="Calibri" w:hAnsi="Calibri"/>
      <w:b/>
      <w:bCs/>
      <w:color w:val="4F81BD" w:themeColor="accent1"/>
      <w:sz w:val="24"/>
      <w:szCs w:val="24"/>
    </w:rPr>
  </w:style>
  <w:style w:type="paragraph" w:customStyle="1" w:styleId="titre2-ADVENT">
    <w:name w:val="titre 2 - ADVENT"/>
    <w:basedOn w:val="Titre2"/>
    <w:link w:val="titre2-ADVENTCar"/>
    <w:qFormat/>
    <w:rsid w:val="00E428CA"/>
    <w:pPr>
      <w:keepLines/>
      <w:numPr>
        <w:numId w:val="3"/>
      </w:numPr>
      <w:spacing w:before="0" w:after="0"/>
      <w:jc w:val="both"/>
    </w:pPr>
    <w:rPr>
      <w:rFonts w:ascii="Calibri" w:hAnsi="Calibri" w:cs="Times New Roman"/>
      <w:i w:val="0"/>
      <w:iCs w:val="0"/>
      <w:color w:val="4F81BD" w:themeColor="accent1"/>
      <w:sz w:val="24"/>
      <w:szCs w:val="24"/>
    </w:rPr>
  </w:style>
  <w:style w:type="character" w:customStyle="1" w:styleId="Date2">
    <w:name w:val="Date2"/>
    <w:basedOn w:val="Policepardfaut"/>
    <w:rsid w:val="00E428CA"/>
  </w:style>
  <w:style w:type="table" w:customStyle="1" w:styleId="Grilledutableau2">
    <w:name w:val="Grille du tableau2"/>
    <w:basedOn w:val="TableauNormal"/>
    <w:uiPriority w:val="59"/>
    <w:rsid w:val="00E428C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59"/>
    <w:rsid w:val="00E428C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59"/>
    <w:rsid w:val="00E428C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E428C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uiPriority w:val="59"/>
    <w:rsid w:val="00E428C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E428CA"/>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E428CA"/>
    <w:pPr>
      <w:spacing w:after="100" w:line="276" w:lineRule="auto"/>
      <w:ind w:left="880"/>
    </w:pPr>
    <w:rPr>
      <w:rFonts w:asciiTheme="minorHAnsi" w:eastAsiaTheme="minorEastAsia" w:hAnsiTheme="minorHAnsi" w:cstheme="minorBidi"/>
      <w:sz w:val="22"/>
      <w:szCs w:val="22"/>
    </w:rPr>
  </w:style>
  <w:style w:type="paragraph" w:customStyle="1" w:styleId="T4modleAGAMA">
    <w:name w:val="T4modèleAGAMA"/>
    <w:basedOn w:val="Normal"/>
    <w:qFormat/>
    <w:rsid w:val="00E428CA"/>
    <w:pPr>
      <w:numPr>
        <w:numId w:val="4"/>
      </w:numPr>
      <w:spacing w:line="276" w:lineRule="auto"/>
      <w:outlineLvl w:val="3"/>
    </w:pPr>
    <w:rPr>
      <w:rFonts w:asciiTheme="minorHAnsi" w:eastAsiaTheme="minorHAnsi" w:hAnsiTheme="minorHAnsi" w:cstheme="minorBidi"/>
      <w:sz w:val="22"/>
      <w:szCs w:val="22"/>
      <w:u w:val="single"/>
      <w:lang w:eastAsia="en-US"/>
    </w:rPr>
  </w:style>
  <w:style w:type="character" w:customStyle="1" w:styleId="Date3">
    <w:name w:val="Date3"/>
    <w:rsid w:val="00E428CA"/>
  </w:style>
  <w:style w:type="paragraph" w:customStyle="1" w:styleId="T0modleAGAMA">
    <w:name w:val="T0modèleAGAMA"/>
    <w:basedOn w:val="Normal"/>
    <w:link w:val="T0modleAGAMACar"/>
    <w:qFormat/>
    <w:rsid w:val="00E428CA"/>
    <w:pPr>
      <w:spacing w:after="200" w:line="276" w:lineRule="auto"/>
    </w:pPr>
    <w:rPr>
      <w:rFonts w:asciiTheme="minorHAnsi" w:eastAsiaTheme="minorEastAsia" w:hAnsiTheme="minorHAnsi" w:cstheme="minorBidi"/>
      <w:b/>
      <w:color w:val="002060"/>
      <w:sz w:val="28"/>
      <w:szCs w:val="22"/>
    </w:rPr>
  </w:style>
  <w:style w:type="character" w:customStyle="1" w:styleId="T0modleAGAMACar">
    <w:name w:val="T0modèleAGAMA Car"/>
    <w:basedOn w:val="Policepardfaut"/>
    <w:link w:val="T0modleAGAMA"/>
    <w:rsid w:val="00E428CA"/>
    <w:rPr>
      <w:rFonts w:asciiTheme="minorHAnsi" w:eastAsiaTheme="minorEastAsia" w:hAnsiTheme="minorHAnsi" w:cstheme="minorBidi"/>
      <w:b/>
      <w:color w:val="002060"/>
      <w:sz w:val="28"/>
      <w:szCs w:val="22"/>
    </w:rPr>
  </w:style>
  <w:style w:type="paragraph" w:styleId="Corpsdetexte">
    <w:name w:val="Body Text"/>
    <w:basedOn w:val="Normal"/>
    <w:link w:val="CorpsdetexteCar"/>
    <w:semiHidden/>
    <w:unhideWhenUsed/>
    <w:rsid w:val="00853C6C"/>
    <w:pPr>
      <w:spacing w:after="120"/>
    </w:pPr>
  </w:style>
  <w:style w:type="character" w:customStyle="1" w:styleId="CorpsdetexteCar">
    <w:name w:val="Corps de texte Car"/>
    <w:basedOn w:val="Policepardfaut"/>
    <w:link w:val="Corpsdetexte"/>
    <w:semiHidden/>
    <w:rsid w:val="00853C6C"/>
    <w:rPr>
      <w:sz w:val="24"/>
      <w:szCs w:val="24"/>
    </w:rPr>
  </w:style>
  <w:style w:type="table" w:customStyle="1" w:styleId="TableNormal">
    <w:name w:val="Table Normal"/>
    <w:uiPriority w:val="2"/>
    <w:semiHidden/>
    <w:unhideWhenUsed/>
    <w:qFormat/>
    <w:rsid w:val="000434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3484"/>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936">
      <w:bodyDiv w:val="1"/>
      <w:marLeft w:val="0"/>
      <w:marRight w:val="0"/>
      <w:marTop w:val="0"/>
      <w:marBottom w:val="0"/>
      <w:divBdr>
        <w:top w:val="none" w:sz="0" w:space="0" w:color="auto"/>
        <w:left w:val="none" w:sz="0" w:space="0" w:color="auto"/>
        <w:bottom w:val="none" w:sz="0" w:space="0" w:color="auto"/>
        <w:right w:val="none" w:sz="0" w:space="0" w:color="auto"/>
      </w:divBdr>
    </w:div>
    <w:div w:id="261379984">
      <w:bodyDiv w:val="1"/>
      <w:marLeft w:val="0"/>
      <w:marRight w:val="0"/>
      <w:marTop w:val="0"/>
      <w:marBottom w:val="0"/>
      <w:divBdr>
        <w:top w:val="none" w:sz="0" w:space="0" w:color="auto"/>
        <w:left w:val="none" w:sz="0" w:space="0" w:color="auto"/>
        <w:bottom w:val="none" w:sz="0" w:space="0" w:color="auto"/>
        <w:right w:val="none" w:sz="0" w:space="0" w:color="auto"/>
      </w:divBdr>
    </w:div>
    <w:div w:id="974994373">
      <w:bodyDiv w:val="1"/>
      <w:marLeft w:val="0"/>
      <w:marRight w:val="0"/>
      <w:marTop w:val="0"/>
      <w:marBottom w:val="0"/>
      <w:divBdr>
        <w:top w:val="none" w:sz="0" w:space="0" w:color="auto"/>
        <w:left w:val="none" w:sz="0" w:space="0" w:color="auto"/>
        <w:bottom w:val="none" w:sz="0" w:space="0" w:color="auto"/>
        <w:right w:val="none" w:sz="0" w:space="0" w:color="auto"/>
      </w:divBdr>
    </w:div>
    <w:div w:id="1210341565">
      <w:bodyDiv w:val="1"/>
      <w:marLeft w:val="0"/>
      <w:marRight w:val="0"/>
      <w:marTop w:val="0"/>
      <w:marBottom w:val="0"/>
      <w:divBdr>
        <w:top w:val="none" w:sz="0" w:space="0" w:color="auto"/>
        <w:left w:val="none" w:sz="0" w:space="0" w:color="auto"/>
        <w:bottom w:val="none" w:sz="0" w:space="0" w:color="auto"/>
        <w:right w:val="none" w:sz="0" w:space="0" w:color="auto"/>
      </w:divBdr>
    </w:div>
    <w:div w:id="1465738529">
      <w:bodyDiv w:val="1"/>
      <w:marLeft w:val="0"/>
      <w:marRight w:val="0"/>
      <w:marTop w:val="0"/>
      <w:marBottom w:val="0"/>
      <w:divBdr>
        <w:top w:val="none" w:sz="0" w:space="0" w:color="auto"/>
        <w:left w:val="none" w:sz="0" w:space="0" w:color="auto"/>
        <w:bottom w:val="none" w:sz="0" w:space="0" w:color="auto"/>
        <w:right w:val="none" w:sz="0" w:space="0" w:color="auto"/>
      </w:divBdr>
    </w:div>
    <w:div w:id="1542665768">
      <w:bodyDiv w:val="1"/>
      <w:marLeft w:val="0"/>
      <w:marRight w:val="0"/>
      <w:marTop w:val="0"/>
      <w:marBottom w:val="0"/>
      <w:divBdr>
        <w:top w:val="none" w:sz="0" w:space="0" w:color="auto"/>
        <w:left w:val="none" w:sz="0" w:space="0" w:color="auto"/>
        <w:bottom w:val="none" w:sz="0" w:space="0" w:color="auto"/>
        <w:right w:val="none" w:sz="0" w:space="0" w:color="auto"/>
      </w:divBdr>
    </w:div>
    <w:div w:id="1618835747">
      <w:bodyDiv w:val="1"/>
      <w:marLeft w:val="0"/>
      <w:marRight w:val="0"/>
      <w:marTop w:val="0"/>
      <w:marBottom w:val="0"/>
      <w:divBdr>
        <w:top w:val="none" w:sz="0" w:space="0" w:color="auto"/>
        <w:left w:val="none" w:sz="0" w:space="0" w:color="auto"/>
        <w:bottom w:val="none" w:sz="0" w:space="0" w:color="auto"/>
        <w:right w:val="none" w:sz="0" w:space="0" w:color="auto"/>
      </w:divBdr>
    </w:div>
    <w:div w:id="1651055848">
      <w:bodyDiv w:val="1"/>
      <w:marLeft w:val="0"/>
      <w:marRight w:val="0"/>
      <w:marTop w:val="0"/>
      <w:marBottom w:val="0"/>
      <w:divBdr>
        <w:top w:val="none" w:sz="0" w:space="0" w:color="auto"/>
        <w:left w:val="none" w:sz="0" w:space="0" w:color="auto"/>
        <w:bottom w:val="none" w:sz="0" w:space="0" w:color="auto"/>
        <w:right w:val="none" w:sz="0" w:space="0" w:color="auto"/>
      </w:divBdr>
    </w:div>
    <w:div w:id="1843279992">
      <w:bodyDiv w:val="1"/>
      <w:marLeft w:val="0"/>
      <w:marRight w:val="0"/>
      <w:marTop w:val="0"/>
      <w:marBottom w:val="0"/>
      <w:divBdr>
        <w:top w:val="none" w:sz="0" w:space="0" w:color="auto"/>
        <w:left w:val="none" w:sz="0" w:space="0" w:color="auto"/>
        <w:bottom w:val="none" w:sz="0" w:space="0" w:color="auto"/>
        <w:right w:val="none" w:sz="0" w:space="0" w:color="auto"/>
      </w:divBdr>
    </w:div>
    <w:div w:id="1860391575">
      <w:bodyDiv w:val="1"/>
      <w:marLeft w:val="0"/>
      <w:marRight w:val="0"/>
      <w:marTop w:val="0"/>
      <w:marBottom w:val="0"/>
      <w:divBdr>
        <w:top w:val="none" w:sz="0" w:space="0" w:color="auto"/>
        <w:left w:val="none" w:sz="0" w:space="0" w:color="auto"/>
        <w:bottom w:val="none" w:sz="0" w:space="0" w:color="auto"/>
        <w:right w:val="none" w:sz="0" w:space="0" w:color="auto"/>
      </w:divBdr>
    </w:div>
    <w:div w:id="2027440688">
      <w:bodyDiv w:val="1"/>
      <w:marLeft w:val="0"/>
      <w:marRight w:val="0"/>
      <w:marTop w:val="0"/>
      <w:marBottom w:val="0"/>
      <w:divBdr>
        <w:top w:val="none" w:sz="0" w:space="0" w:color="auto"/>
        <w:left w:val="none" w:sz="0" w:space="0" w:color="auto"/>
        <w:bottom w:val="none" w:sz="0" w:space="0" w:color="auto"/>
        <w:right w:val="none" w:sz="0" w:space="0" w:color="auto"/>
      </w:divBdr>
    </w:div>
    <w:div w:id="21028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2765-EEAD-4149-9C03-A801D089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2811</Words>
  <Characters>15464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Recueil de procédures</vt:lpstr>
    </vt:vector>
  </TitlesOfParts>
  <Company>Vae Soli</Company>
  <LinksUpToDate>false</LinksUpToDate>
  <CharactersWithSpaces>18239</CharactersWithSpaces>
  <SharedDoc>false</SharedDoc>
  <HLinks>
    <vt:vector size="228" baseType="variant">
      <vt:variant>
        <vt:i4>1114222</vt:i4>
      </vt:variant>
      <vt:variant>
        <vt:i4>207</vt:i4>
      </vt:variant>
      <vt:variant>
        <vt:i4>0</vt:i4>
      </vt:variant>
      <vt:variant>
        <vt:i4>5</vt:i4>
      </vt:variant>
      <vt:variant>
        <vt:lpwstr>mailto:cedric.sicard@barcap.</vt:lpwstr>
      </vt:variant>
      <vt:variant>
        <vt:lpwstr/>
      </vt:variant>
      <vt:variant>
        <vt:i4>4259925</vt:i4>
      </vt:variant>
      <vt:variant>
        <vt:i4>204</vt:i4>
      </vt:variant>
      <vt:variant>
        <vt:i4>0</vt:i4>
      </vt:variant>
      <vt:variant>
        <vt:i4>5</vt:i4>
      </vt:variant>
      <vt:variant>
        <vt:lpwstr>../../../FICHIERS-COMMUN/Procédures/Suivi/ETMF III - FCPR - SAVE/Trésorerie/OPCVM</vt:lpwstr>
      </vt:variant>
      <vt:variant>
        <vt:lpwstr/>
      </vt:variant>
      <vt:variant>
        <vt:i4>2359307</vt:i4>
      </vt:variant>
      <vt:variant>
        <vt:i4>201</vt:i4>
      </vt:variant>
      <vt:variant>
        <vt:i4>0</vt:i4>
      </vt:variant>
      <vt:variant>
        <vt:i4>5</vt:i4>
      </vt:variant>
      <vt:variant>
        <vt:lpwstr>mailto:controleinterne@orkoscapital.com</vt:lpwstr>
      </vt:variant>
      <vt:variant>
        <vt:lpwstr/>
      </vt:variant>
      <vt:variant>
        <vt:i4>14417991</vt:i4>
      </vt:variant>
      <vt:variant>
        <vt:i4>198</vt:i4>
      </vt:variant>
      <vt:variant>
        <vt:i4>0</vt:i4>
      </vt:variant>
      <vt:variant>
        <vt:i4>5</vt:i4>
      </vt:variant>
      <vt:variant>
        <vt:lpwstr>../../../FICHIERS-COMMUN/Procédures/Suivi/ETMF III - PORTEFEUILLE/0 - Matrice</vt:lpwstr>
      </vt:variant>
      <vt:variant>
        <vt:lpwstr/>
      </vt:variant>
      <vt:variant>
        <vt:i4>2359307</vt:i4>
      </vt:variant>
      <vt:variant>
        <vt:i4>195</vt:i4>
      </vt:variant>
      <vt:variant>
        <vt:i4>0</vt:i4>
      </vt:variant>
      <vt:variant>
        <vt:i4>5</vt:i4>
      </vt:variant>
      <vt:variant>
        <vt:lpwstr>mailto:controleinterne@orkoscapital.com</vt:lpwstr>
      </vt:variant>
      <vt:variant>
        <vt:lpwstr/>
      </vt:variant>
      <vt:variant>
        <vt:i4>14876708</vt:i4>
      </vt:variant>
      <vt:variant>
        <vt:i4>192</vt:i4>
      </vt:variant>
      <vt:variant>
        <vt:i4>0</vt:i4>
      </vt:variant>
      <vt:variant>
        <vt:i4>5</vt:i4>
      </vt:variant>
      <vt:variant>
        <vt:lpwstr>../../../FICHIERS-COMMUN/Procédures/Suivi/DEAL FLOW (tableau suivi + dossiers)/Tableau suivi/Current/Deal FLow 2008 S2 v2008-12-01.xlsx</vt:lpwstr>
      </vt:variant>
      <vt:variant>
        <vt:lpwstr/>
      </vt:variant>
      <vt:variant>
        <vt:i4>16121910</vt:i4>
      </vt:variant>
      <vt:variant>
        <vt:i4>189</vt:i4>
      </vt:variant>
      <vt:variant>
        <vt:i4>0</vt:i4>
      </vt:variant>
      <vt:variant>
        <vt:i4>5</vt:i4>
      </vt:variant>
      <vt:variant>
        <vt:lpwstr>../../../FICHIERS-COMMUN/Procédures/Suivi/ETMF III - ORKOS/G&amp;A + CONTRATS/Informatique</vt:lpwstr>
      </vt:variant>
      <vt:variant>
        <vt:lpwstr/>
      </vt:variant>
      <vt:variant>
        <vt:i4>13959237</vt:i4>
      </vt:variant>
      <vt:variant>
        <vt:i4>183</vt:i4>
      </vt:variant>
      <vt:variant>
        <vt:i4>0</vt:i4>
      </vt:variant>
      <vt:variant>
        <vt:i4>5</vt:i4>
      </vt:variant>
      <vt:variant>
        <vt:lpwstr>../../../FICHIERS-COMMUN/Procédures/Suivi/ETMF III - ORKOS/G&amp;A + CONTRATS</vt:lpwstr>
      </vt:variant>
      <vt:variant>
        <vt:lpwstr/>
      </vt:variant>
      <vt:variant>
        <vt:i4>13959237</vt:i4>
      </vt:variant>
      <vt:variant>
        <vt:i4>180</vt:i4>
      </vt:variant>
      <vt:variant>
        <vt:i4>0</vt:i4>
      </vt:variant>
      <vt:variant>
        <vt:i4>5</vt:i4>
      </vt:variant>
      <vt:variant>
        <vt:lpwstr>../../../FICHIERS-COMMUN/Procédures/Suivi/ETMF III - ORKOS/G&amp;A + CONTRATS</vt:lpwstr>
      </vt:variant>
      <vt:variant>
        <vt:lpwstr/>
      </vt:variant>
      <vt:variant>
        <vt:i4>3473509</vt:i4>
      </vt:variant>
      <vt:variant>
        <vt:i4>177</vt:i4>
      </vt:variant>
      <vt:variant>
        <vt:i4>0</vt:i4>
      </vt:variant>
      <vt:variant>
        <vt:i4>5</vt:i4>
      </vt:variant>
      <vt:variant>
        <vt:lpwstr>../../../FICHIERS-COMMUN/Procédures/Suivi/ETMF III - FCPR - SAVE/Trésorerie/MODELE OPCVM ORKOS.xlsm</vt:lpwstr>
      </vt:variant>
      <vt:variant>
        <vt:lpwstr/>
      </vt:variant>
      <vt:variant>
        <vt:i4>3539070</vt:i4>
      </vt:variant>
      <vt:variant>
        <vt:i4>171</vt:i4>
      </vt:variant>
      <vt:variant>
        <vt:i4>0</vt:i4>
      </vt:variant>
      <vt:variant>
        <vt:i4>5</vt:i4>
      </vt:variant>
      <vt:variant>
        <vt:lpwstr>../../../FICHIERS-COMMUN/Procédures/Suivi/ETMF III - ORKOS/FINANCE/BANQUE TRESORERIE/Trésorerie - Compte bancaire/SUIVI TRESO CHQ DAT OPCVM.xls</vt:lpwstr>
      </vt:variant>
      <vt:variant>
        <vt:lpwstr/>
      </vt:variant>
      <vt:variant>
        <vt:i4>1835059</vt:i4>
      </vt:variant>
      <vt:variant>
        <vt:i4>158</vt:i4>
      </vt:variant>
      <vt:variant>
        <vt:i4>0</vt:i4>
      </vt:variant>
      <vt:variant>
        <vt:i4>5</vt:i4>
      </vt:variant>
      <vt:variant>
        <vt:lpwstr/>
      </vt:variant>
      <vt:variant>
        <vt:lpwstr>_Toc252208344</vt:lpwstr>
      </vt:variant>
      <vt:variant>
        <vt:i4>1835059</vt:i4>
      </vt:variant>
      <vt:variant>
        <vt:i4>152</vt:i4>
      </vt:variant>
      <vt:variant>
        <vt:i4>0</vt:i4>
      </vt:variant>
      <vt:variant>
        <vt:i4>5</vt:i4>
      </vt:variant>
      <vt:variant>
        <vt:lpwstr/>
      </vt:variant>
      <vt:variant>
        <vt:lpwstr>_Toc252208343</vt:lpwstr>
      </vt:variant>
      <vt:variant>
        <vt:i4>1835059</vt:i4>
      </vt:variant>
      <vt:variant>
        <vt:i4>146</vt:i4>
      </vt:variant>
      <vt:variant>
        <vt:i4>0</vt:i4>
      </vt:variant>
      <vt:variant>
        <vt:i4>5</vt:i4>
      </vt:variant>
      <vt:variant>
        <vt:lpwstr/>
      </vt:variant>
      <vt:variant>
        <vt:lpwstr>_Toc252208342</vt:lpwstr>
      </vt:variant>
      <vt:variant>
        <vt:i4>1835059</vt:i4>
      </vt:variant>
      <vt:variant>
        <vt:i4>140</vt:i4>
      </vt:variant>
      <vt:variant>
        <vt:i4>0</vt:i4>
      </vt:variant>
      <vt:variant>
        <vt:i4>5</vt:i4>
      </vt:variant>
      <vt:variant>
        <vt:lpwstr/>
      </vt:variant>
      <vt:variant>
        <vt:lpwstr>_Toc252208341</vt:lpwstr>
      </vt:variant>
      <vt:variant>
        <vt:i4>1835059</vt:i4>
      </vt:variant>
      <vt:variant>
        <vt:i4>134</vt:i4>
      </vt:variant>
      <vt:variant>
        <vt:i4>0</vt:i4>
      </vt:variant>
      <vt:variant>
        <vt:i4>5</vt:i4>
      </vt:variant>
      <vt:variant>
        <vt:lpwstr/>
      </vt:variant>
      <vt:variant>
        <vt:lpwstr>_Toc252208340</vt:lpwstr>
      </vt:variant>
      <vt:variant>
        <vt:i4>1769523</vt:i4>
      </vt:variant>
      <vt:variant>
        <vt:i4>128</vt:i4>
      </vt:variant>
      <vt:variant>
        <vt:i4>0</vt:i4>
      </vt:variant>
      <vt:variant>
        <vt:i4>5</vt:i4>
      </vt:variant>
      <vt:variant>
        <vt:lpwstr/>
      </vt:variant>
      <vt:variant>
        <vt:lpwstr>_Toc252208339</vt:lpwstr>
      </vt:variant>
      <vt:variant>
        <vt:i4>1769523</vt:i4>
      </vt:variant>
      <vt:variant>
        <vt:i4>122</vt:i4>
      </vt:variant>
      <vt:variant>
        <vt:i4>0</vt:i4>
      </vt:variant>
      <vt:variant>
        <vt:i4>5</vt:i4>
      </vt:variant>
      <vt:variant>
        <vt:lpwstr/>
      </vt:variant>
      <vt:variant>
        <vt:lpwstr>_Toc252208338</vt:lpwstr>
      </vt:variant>
      <vt:variant>
        <vt:i4>1769523</vt:i4>
      </vt:variant>
      <vt:variant>
        <vt:i4>116</vt:i4>
      </vt:variant>
      <vt:variant>
        <vt:i4>0</vt:i4>
      </vt:variant>
      <vt:variant>
        <vt:i4>5</vt:i4>
      </vt:variant>
      <vt:variant>
        <vt:lpwstr/>
      </vt:variant>
      <vt:variant>
        <vt:lpwstr>_Toc252208337</vt:lpwstr>
      </vt:variant>
      <vt:variant>
        <vt:i4>1769523</vt:i4>
      </vt:variant>
      <vt:variant>
        <vt:i4>110</vt:i4>
      </vt:variant>
      <vt:variant>
        <vt:i4>0</vt:i4>
      </vt:variant>
      <vt:variant>
        <vt:i4>5</vt:i4>
      </vt:variant>
      <vt:variant>
        <vt:lpwstr/>
      </vt:variant>
      <vt:variant>
        <vt:lpwstr>_Toc252208336</vt:lpwstr>
      </vt:variant>
      <vt:variant>
        <vt:i4>1769523</vt:i4>
      </vt:variant>
      <vt:variant>
        <vt:i4>104</vt:i4>
      </vt:variant>
      <vt:variant>
        <vt:i4>0</vt:i4>
      </vt:variant>
      <vt:variant>
        <vt:i4>5</vt:i4>
      </vt:variant>
      <vt:variant>
        <vt:lpwstr/>
      </vt:variant>
      <vt:variant>
        <vt:lpwstr>_Toc252208335</vt:lpwstr>
      </vt:variant>
      <vt:variant>
        <vt:i4>1769523</vt:i4>
      </vt:variant>
      <vt:variant>
        <vt:i4>98</vt:i4>
      </vt:variant>
      <vt:variant>
        <vt:i4>0</vt:i4>
      </vt:variant>
      <vt:variant>
        <vt:i4>5</vt:i4>
      </vt:variant>
      <vt:variant>
        <vt:lpwstr/>
      </vt:variant>
      <vt:variant>
        <vt:lpwstr>_Toc252208334</vt:lpwstr>
      </vt:variant>
      <vt:variant>
        <vt:i4>1769523</vt:i4>
      </vt:variant>
      <vt:variant>
        <vt:i4>92</vt:i4>
      </vt:variant>
      <vt:variant>
        <vt:i4>0</vt:i4>
      </vt:variant>
      <vt:variant>
        <vt:i4>5</vt:i4>
      </vt:variant>
      <vt:variant>
        <vt:lpwstr/>
      </vt:variant>
      <vt:variant>
        <vt:lpwstr>_Toc252208333</vt:lpwstr>
      </vt:variant>
      <vt:variant>
        <vt:i4>1769523</vt:i4>
      </vt:variant>
      <vt:variant>
        <vt:i4>86</vt:i4>
      </vt:variant>
      <vt:variant>
        <vt:i4>0</vt:i4>
      </vt:variant>
      <vt:variant>
        <vt:i4>5</vt:i4>
      </vt:variant>
      <vt:variant>
        <vt:lpwstr/>
      </vt:variant>
      <vt:variant>
        <vt:lpwstr>_Toc252208332</vt:lpwstr>
      </vt:variant>
      <vt:variant>
        <vt:i4>1769523</vt:i4>
      </vt:variant>
      <vt:variant>
        <vt:i4>80</vt:i4>
      </vt:variant>
      <vt:variant>
        <vt:i4>0</vt:i4>
      </vt:variant>
      <vt:variant>
        <vt:i4>5</vt:i4>
      </vt:variant>
      <vt:variant>
        <vt:lpwstr/>
      </vt:variant>
      <vt:variant>
        <vt:lpwstr>_Toc252208331</vt:lpwstr>
      </vt:variant>
      <vt:variant>
        <vt:i4>1769523</vt:i4>
      </vt:variant>
      <vt:variant>
        <vt:i4>74</vt:i4>
      </vt:variant>
      <vt:variant>
        <vt:i4>0</vt:i4>
      </vt:variant>
      <vt:variant>
        <vt:i4>5</vt:i4>
      </vt:variant>
      <vt:variant>
        <vt:lpwstr/>
      </vt:variant>
      <vt:variant>
        <vt:lpwstr>_Toc252208330</vt:lpwstr>
      </vt:variant>
      <vt:variant>
        <vt:i4>1703987</vt:i4>
      </vt:variant>
      <vt:variant>
        <vt:i4>68</vt:i4>
      </vt:variant>
      <vt:variant>
        <vt:i4>0</vt:i4>
      </vt:variant>
      <vt:variant>
        <vt:i4>5</vt:i4>
      </vt:variant>
      <vt:variant>
        <vt:lpwstr/>
      </vt:variant>
      <vt:variant>
        <vt:lpwstr>_Toc252208329</vt:lpwstr>
      </vt:variant>
      <vt:variant>
        <vt:i4>1703987</vt:i4>
      </vt:variant>
      <vt:variant>
        <vt:i4>62</vt:i4>
      </vt:variant>
      <vt:variant>
        <vt:i4>0</vt:i4>
      </vt:variant>
      <vt:variant>
        <vt:i4>5</vt:i4>
      </vt:variant>
      <vt:variant>
        <vt:lpwstr/>
      </vt:variant>
      <vt:variant>
        <vt:lpwstr>_Toc252208328</vt:lpwstr>
      </vt:variant>
      <vt:variant>
        <vt:i4>1703987</vt:i4>
      </vt:variant>
      <vt:variant>
        <vt:i4>56</vt:i4>
      </vt:variant>
      <vt:variant>
        <vt:i4>0</vt:i4>
      </vt:variant>
      <vt:variant>
        <vt:i4>5</vt:i4>
      </vt:variant>
      <vt:variant>
        <vt:lpwstr/>
      </vt:variant>
      <vt:variant>
        <vt:lpwstr>_Toc252208327</vt:lpwstr>
      </vt:variant>
      <vt:variant>
        <vt:i4>1703987</vt:i4>
      </vt:variant>
      <vt:variant>
        <vt:i4>50</vt:i4>
      </vt:variant>
      <vt:variant>
        <vt:i4>0</vt:i4>
      </vt:variant>
      <vt:variant>
        <vt:i4>5</vt:i4>
      </vt:variant>
      <vt:variant>
        <vt:lpwstr/>
      </vt:variant>
      <vt:variant>
        <vt:lpwstr>_Toc252208326</vt:lpwstr>
      </vt:variant>
      <vt:variant>
        <vt:i4>1703987</vt:i4>
      </vt:variant>
      <vt:variant>
        <vt:i4>44</vt:i4>
      </vt:variant>
      <vt:variant>
        <vt:i4>0</vt:i4>
      </vt:variant>
      <vt:variant>
        <vt:i4>5</vt:i4>
      </vt:variant>
      <vt:variant>
        <vt:lpwstr/>
      </vt:variant>
      <vt:variant>
        <vt:lpwstr>_Toc252208325</vt:lpwstr>
      </vt:variant>
      <vt:variant>
        <vt:i4>1703987</vt:i4>
      </vt:variant>
      <vt:variant>
        <vt:i4>38</vt:i4>
      </vt:variant>
      <vt:variant>
        <vt:i4>0</vt:i4>
      </vt:variant>
      <vt:variant>
        <vt:i4>5</vt:i4>
      </vt:variant>
      <vt:variant>
        <vt:lpwstr/>
      </vt:variant>
      <vt:variant>
        <vt:lpwstr>_Toc252208324</vt:lpwstr>
      </vt:variant>
      <vt:variant>
        <vt:i4>1703987</vt:i4>
      </vt:variant>
      <vt:variant>
        <vt:i4>32</vt:i4>
      </vt:variant>
      <vt:variant>
        <vt:i4>0</vt:i4>
      </vt:variant>
      <vt:variant>
        <vt:i4>5</vt:i4>
      </vt:variant>
      <vt:variant>
        <vt:lpwstr/>
      </vt:variant>
      <vt:variant>
        <vt:lpwstr>_Toc252208323</vt:lpwstr>
      </vt:variant>
      <vt:variant>
        <vt:i4>1703987</vt:i4>
      </vt:variant>
      <vt:variant>
        <vt:i4>26</vt:i4>
      </vt:variant>
      <vt:variant>
        <vt:i4>0</vt:i4>
      </vt:variant>
      <vt:variant>
        <vt:i4>5</vt:i4>
      </vt:variant>
      <vt:variant>
        <vt:lpwstr/>
      </vt:variant>
      <vt:variant>
        <vt:lpwstr>_Toc252208322</vt:lpwstr>
      </vt:variant>
      <vt:variant>
        <vt:i4>1703987</vt:i4>
      </vt:variant>
      <vt:variant>
        <vt:i4>20</vt:i4>
      </vt:variant>
      <vt:variant>
        <vt:i4>0</vt:i4>
      </vt:variant>
      <vt:variant>
        <vt:i4>5</vt:i4>
      </vt:variant>
      <vt:variant>
        <vt:lpwstr/>
      </vt:variant>
      <vt:variant>
        <vt:lpwstr>_Toc252208321</vt:lpwstr>
      </vt:variant>
      <vt:variant>
        <vt:i4>1703987</vt:i4>
      </vt:variant>
      <vt:variant>
        <vt:i4>14</vt:i4>
      </vt:variant>
      <vt:variant>
        <vt:i4>0</vt:i4>
      </vt:variant>
      <vt:variant>
        <vt:i4>5</vt:i4>
      </vt:variant>
      <vt:variant>
        <vt:lpwstr/>
      </vt:variant>
      <vt:variant>
        <vt:lpwstr>_Toc252208320</vt:lpwstr>
      </vt:variant>
      <vt:variant>
        <vt:i4>1638451</vt:i4>
      </vt:variant>
      <vt:variant>
        <vt:i4>8</vt:i4>
      </vt:variant>
      <vt:variant>
        <vt:i4>0</vt:i4>
      </vt:variant>
      <vt:variant>
        <vt:i4>5</vt:i4>
      </vt:variant>
      <vt:variant>
        <vt:lpwstr/>
      </vt:variant>
      <vt:variant>
        <vt:lpwstr>_Toc252208319</vt:lpwstr>
      </vt:variant>
      <vt:variant>
        <vt:i4>1638451</vt:i4>
      </vt:variant>
      <vt:variant>
        <vt:i4>2</vt:i4>
      </vt:variant>
      <vt:variant>
        <vt:i4>0</vt:i4>
      </vt:variant>
      <vt:variant>
        <vt:i4>5</vt:i4>
      </vt:variant>
      <vt:variant>
        <vt:lpwstr/>
      </vt:variant>
      <vt:variant>
        <vt:lpwstr>_Toc252208318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Recueil de procédures</dc:title>
  <dc:creator>Thomas Verhille</dc:creator>
  <cp:lastModifiedBy>Julie Barchilon</cp:lastModifiedBy>
  <cp:revision>3</cp:revision>
  <cp:lastPrinted>2015-01-30T11:38:00Z</cp:lastPrinted>
  <dcterms:created xsi:type="dcterms:W3CDTF">2022-07-30T08:09:00Z</dcterms:created>
  <dcterms:modified xsi:type="dcterms:W3CDTF">2022-07-30T08:11:00Z</dcterms:modified>
</cp:coreProperties>
</file>