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01" w:type="dxa"/>
        <w:tblLook w:val="01E0" w:firstRow="1" w:lastRow="1" w:firstColumn="1" w:lastColumn="1" w:noHBand="0" w:noVBand="0"/>
      </w:tblPr>
      <w:tblGrid>
        <w:gridCol w:w="1101"/>
        <w:gridCol w:w="279"/>
        <w:gridCol w:w="6666"/>
        <w:gridCol w:w="284"/>
        <w:gridCol w:w="1560"/>
      </w:tblGrid>
      <w:tr w:rsidR="00F9650B" w:rsidRPr="005648ED" w14:paraId="065B6E01" w14:textId="77777777" w:rsidTr="00E73339">
        <w:trPr>
          <w:trHeight w:val="703"/>
        </w:trPr>
        <w:tc>
          <w:tcPr>
            <w:tcW w:w="1101"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DF451E0" w14:textId="178E55CB" w:rsidR="00F9650B" w:rsidRPr="005648ED" w:rsidRDefault="00132FFE" w:rsidP="00686CD6">
            <w:pPr>
              <w:jc w:val="center"/>
              <w:rPr>
                <w:rFonts w:ascii="Garamond" w:hAnsi="Garamond"/>
                <w:b/>
                <w:bCs/>
                <w:color w:val="000080"/>
                <w:sz w:val="32"/>
                <w:szCs w:val="32"/>
              </w:rPr>
            </w:pPr>
            <w:r>
              <w:rPr>
                <w:rFonts w:ascii="Garamond" w:hAnsi="Garamond"/>
                <w:b/>
                <w:bCs/>
                <w:color w:val="000080"/>
                <w:sz w:val="32"/>
                <w:szCs w:val="32"/>
              </w:rPr>
              <w:t>3.2</w:t>
            </w:r>
          </w:p>
        </w:tc>
        <w:tc>
          <w:tcPr>
            <w:tcW w:w="279" w:type="dxa"/>
            <w:tcBorders>
              <w:left w:val="single" w:sz="4" w:space="0" w:color="000080"/>
              <w:right w:val="single" w:sz="4" w:space="0" w:color="000080"/>
            </w:tcBorders>
            <w:vAlign w:val="center"/>
          </w:tcPr>
          <w:p w14:paraId="40F5CE8C" w14:textId="77777777" w:rsidR="00F9650B" w:rsidRPr="005648ED" w:rsidRDefault="00F9650B" w:rsidP="00686CD6">
            <w:pPr>
              <w:jc w:val="center"/>
              <w:rPr>
                <w:rFonts w:ascii="Garamond" w:hAnsi="Garamond"/>
                <w:color w:val="000080"/>
              </w:rPr>
            </w:pPr>
          </w:p>
        </w:tc>
        <w:tc>
          <w:tcPr>
            <w:tcW w:w="6666"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101B856" w14:textId="5D0E3ADB" w:rsidR="00F9650B" w:rsidRPr="005648ED" w:rsidRDefault="002E175D" w:rsidP="00F9650B">
            <w:pPr>
              <w:pStyle w:val="Style2"/>
              <w:rPr>
                <w:i w:val="0"/>
              </w:rPr>
            </w:pPr>
            <w:r>
              <w:rPr>
                <w:i w:val="0"/>
              </w:rPr>
              <w:t>R</w:t>
            </w:r>
            <w:r w:rsidR="00E94D51" w:rsidRPr="005648ED">
              <w:rPr>
                <w:i w:val="0"/>
              </w:rPr>
              <w:t xml:space="preserve">apport </w:t>
            </w:r>
            <w:r w:rsidR="00363EEA" w:rsidRPr="005648ED">
              <w:rPr>
                <w:i w:val="0"/>
              </w:rPr>
              <w:t>Article 29 de la Loi Energie Climat</w:t>
            </w:r>
          </w:p>
        </w:tc>
        <w:tc>
          <w:tcPr>
            <w:tcW w:w="284" w:type="dxa"/>
            <w:tcBorders>
              <w:left w:val="single" w:sz="4" w:space="0" w:color="000080"/>
              <w:right w:val="single" w:sz="4" w:space="0" w:color="000080"/>
            </w:tcBorders>
          </w:tcPr>
          <w:p w14:paraId="2A098F2A" w14:textId="77777777" w:rsidR="00F9650B" w:rsidRPr="005648ED" w:rsidRDefault="00F9650B" w:rsidP="00686CD6">
            <w:pPr>
              <w:jc w:val="center"/>
              <w:rPr>
                <w:rFonts w:ascii="Garamond" w:hAnsi="Garamond"/>
                <w:b/>
                <w:bCs/>
                <w:color w:val="000080"/>
              </w:rPr>
            </w:pPr>
          </w:p>
        </w:tc>
        <w:tc>
          <w:tcPr>
            <w:tcW w:w="156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BC60284" w14:textId="74E89DB9" w:rsidR="00F9650B" w:rsidRPr="005648ED" w:rsidRDefault="00132FFE" w:rsidP="009441A7">
            <w:pPr>
              <w:jc w:val="center"/>
              <w:rPr>
                <w:rFonts w:ascii="Garamond" w:hAnsi="Garamond"/>
                <w:b/>
                <w:bCs/>
                <w:color w:val="000080"/>
              </w:rPr>
            </w:pPr>
            <w:r>
              <w:rPr>
                <w:rFonts w:ascii="Garamond" w:hAnsi="Garamond"/>
                <w:b/>
                <w:bCs/>
                <w:color w:val="000080"/>
              </w:rPr>
              <w:t>10</w:t>
            </w:r>
            <w:r w:rsidR="00E94D51" w:rsidRPr="005648ED">
              <w:rPr>
                <w:rFonts w:ascii="Garamond" w:hAnsi="Garamond"/>
                <w:b/>
                <w:bCs/>
                <w:color w:val="000080"/>
              </w:rPr>
              <w:t xml:space="preserve"> juin</w:t>
            </w:r>
            <w:r w:rsidR="00853C6C" w:rsidRPr="005648ED">
              <w:rPr>
                <w:rFonts w:ascii="Garamond" w:hAnsi="Garamond"/>
                <w:b/>
                <w:bCs/>
                <w:color w:val="000080"/>
              </w:rPr>
              <w:t xml:space="preserve"> 2022</w:t>
            </w:r>
          </w:p>
        </w:tc>
      </w:tr>
    </w:tbl>
    <w:p w14:paraId="07349FA2" w14:textId="77777777" w:rsidR="003F1212" w:rsidRPr="005648ED" w:rsidRDefault="003F1212" w:rsidP="003F1212">
      <w:pPr>
        <w:rPr>
          <w:rFonts w:ascii="Garamond" w:hAnsi="Garamond"/>
        </w:rPr>
      </w:pPr>
    </w:p>
    <w:p w14:paraId="08DCAC8C" w14:textId="77777777" w:rsidR="003F1212" w:rsidRPr="005648ED" w:rsidRDefault="003F1212" w:rsidP="003F1212">
      <w:pPr>
        <w:rPr>
          <w:rFonts w:ascii="Garamond" w:hAnsi="Garamond"/>
        </w:rPr>
      </w:pPr>
      <w:bookmarkStart w:id="0" w:name="_Hlk94539243"/>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706"/>
        <w:gridCol w:w="3402"/>
        <w:gridCol w:w="3402"/>
      </w:tblGrid>
      <w:tr w:rsidR="003F1212" w:rsidRPr="005648ED" w14:paraId="565E60BA" w14:textId="77777777" w:rsidTr="00773B8B">
        <w:trPr>
          <w:jc w:val="center"/>
        </w:trPr>
        <w:tc>
          <w:tcPr>
            <w:tcW w:w="1691" w:type="dxa"/>
          </w:tcPr>
          <w:p w14:paraId="14D42E29" w14:textId="77777777" w:rsidR="003F1212" w:rsidRPr="005648ED" w:rsidRDefault="003F1212" w:rsidP="00773B8B">
            <w:pPr>
              <w:jc w:val="center"/>
              <w:rPr>
                <w:rFonts w:ascii="Garamond" w:hAnsi="Garamond"/>
                <w:b/>
                <w:bCs/>
                <w:color w:val="000080"/>
              </w:rPr>
            </w:pPr>
            <w:r w:rsidRPr="005648ED">
              <w:rPr>
                <w:rFonts w:ascii="Garamond" w:hAnsi="Garamond"/>
                <w:b/>
                <w:bCs/>
                <w:color w:val="000080"/>
              </w:rPr>
              <w:t>Version :</w:t>
            </w:r>
          </w:p>
        </w:tc>
        <w:tc>
          <w:tcPr>
            <w:tcW w:w="1706" w:type="dxa"/>
          </w:tcPr>
          <w:p w14:paraId="2AFB9052" w14:textId="77777777" w:rsidR="003F1212" w:rsidRPr="005648ED" w:rsidRDefault="003F1212" w:rsidP="00773B8B">
            <w:pPr>
              <w:jc w:val="center"/>
              <w:rPr>
                <w:rFonts w:ascii="Garamond" w:hAnsi="Garamond"/>
                <w:b/>
                <w:bCs/>
                <w:color w:val="000080"/>
              </w:rPr>
            </w:pPr>
            <w:r w:rsidRPr="005648ED">
              <w:rPr>
                <w:rFonts w:ascii="Garamond" w:hAnsi="Garamond"/>
                <w:b/>
                <w:bCs/>
                <w:color w:val="000080"/>
              </w:rPr>
              <w:t>Date de mise à jour</w:t>
            </w:r>
          </w:p>
        </w:tc>
        <w:tc>
          <w:tcPr>
            <w:tcW w:w="3402" w:type="dxa"/>
          </w:tcPr>
          <w:p w14:paraId="0FDC60D3" w14:textId="77777777" w:rsidR="003F1212" w:rsidRPr="005648ED" w:rsidRDefault="003F1212" w:rsidP="00773B8B">
            <w:pPr>
              <w:jc w:val="center"/>
              <w:rPr>
                <w:rFonts w:ascii="Garamond" w:hAnsi="Garamond"/>
                <w:b/>
                <w:bCs/>
                <w:color w:val="000080"/>
              </w:rPr>
            </w:pPr>
            <w:r w:rsidRPr="005648ED">
              <w:rPr>
                <w:rFonts w:ascii="Garamond" w:hAnsi="Garamond"/>
                <w:b/>
                <w:bCs/>
                <w:color w:val="000080"/>
              </w:rPr>
              <w:t>Descriptions des modifications</w:t>
            </w:r>
          </w:p>
        </w:tc>
        <w:tc>
          <w:tcPr>
            <w:tcW w:w="3402" w:type="dxa"/>
          </w:tcPr>
          <w:p w14:paraId="147B39A0" w14:textId="77777777" w:rsidR="003F1212" w:rsidRPr="005648ED" w:rsidRDefault="003F1212" w:rsidP="00773B8B">
            <w:pPr>
              <w:jc w:val="center"/>
              <w:rPr>
                <w:rFonts w:ascii="Garamond" w:hAnsi="Garamond"/>
                <w:b/>
                <w:bCs/>
                <w:color w:val="000080"/>
              </w:rPr>
            </w:pPr>
            <w:r w:rsidRPr="005648ED">
              <w:rPr>
                <w:rFonts w:ascii="Garamond" w:hAnsi="Garamond"/>
                <w:b/>
                <w:bCs/>
                <w:color w:val="000080"/>
              </w:rPr>
              <w:t>Validé par</w:t>
            </w:r>
          </w:p>
        </w:tc>
      </w:tr>
      <w:tr w:rsidR="003F1212" w:rsidRPr="005648ED" w14:paraId="2FD5CD11" w14:textId="77777777" w:rsidTr="00773B8B">
        <w:trPr>
          <w:jc w:val="center"/>
        </w:trPr>
        <w:tc>
          <w:tcPr>
            <w:tcW w:w="1691" w:type="dxa"/>
          </w:tcPr>
          <w:p w14:paraId="7DB1A2D9" w14:textId="77777777" w:rsidR="003F1212" w:rsidRPr="005648ED" w:rsidRDefault="003F1212" w:rsidP="00773B8B">
            <w:pPr>
              <w:rPr>
                <w:rFonts w:ascii="Garamond" w:hAnsi="Garamond"/>
              </w:rPr>
            </w:pPr>
            <w:r w:rsidRPr="005648ED">
              <w:rPr>
                <w:rFonts w:ascii="Garamond" w:hAnsi="Garamond"/>
              </w:rPr>
              <w:t>V1</w:t>
            </w:r>
          </w:p>
        </w:tc>
        <w:tc>
          <w:tcPr>
            <w:tcW w:w="1706" w:type="dxa"/>
          </w:tcPr>
          <w:p w14:paraId="22C15286" w14:textId="6B762D43" w:rsidR="003F1212" w:rsidRPr="005648ED" w:rsidRDefault="003F1212" w:rsidP="00773B8B">
            <w:pPr>
              <w:rPr>
                <w:rFonts w:ascii="Garamond" w:hAnsi="Garamond"/>
                <w:color w:val="333333"/>
              </w:rPr>
            </w:pPr>
          </w:p>
        </w:tc>
        <w:tc>
          <w:tcPr>
            <w:tcW w:w="3402" w:type="dxa"/>
          </w:tcPr>
          <w:p w14:paraId="6D87A389" w14:textId="77777777" w:rsidR="003F1212" w:rsidRPr="005648ED" w:rsidRDefault="003F1212" w:rsidP="00773B8B">
            <w:pPr>
              <w:rPr>
                <w:rFonts w:ascii="Garamond" w:hAnsi="Garamond"/>
                <w:color w:val="333333"/>
              </w:rPr>
            </w:pPr>
          </w:p>
        </w:tc>
        <w:tc>
          <w:tcPr>
            <w:tcW w:w="3402" w:type="dxa"/>
          </w:tcPr>
          <w:p w14:paraId="0799BC34" w14:textId="4C2559DA" w:rsidR="003F1212" w:rsidRPr="005648ED" w:rsidRDefault="003F1212" w:rsidP="00773B8B">
            <w:pPr>
              <w:jc w:val="center"/>
              <w:rPr>
                <w:rFonts w:ascii="Garamond" w:hAnsi="Garamond"/>
                <w:color w:val="333333"/>
              </w:rPr>
            </w:pPr>
          </w:p>
        </w:tc>
      </w:tr>
      <w:tr w:rsidR="003F1212" w:rsidRPr="005648ED" w14:paraId="3F2ABEBC" w14:textId="77777777" w:rsidTr="00773B8B">
        <w:trPr>
          <w:jc w:val="center"/>
        </w:trPr>
        <w:tc>
          <w:tcPr>
            <w:tcW w:w="1691" w:type="dxa"/>
          </w:tcPr>
          <w:p w14:paraId="3828C52A" w14:textId="77777777" w:rsidR="003F1212" w:rsidRPr="005648ED" w:rsidRDefault="003F1212" w:rsidP="00773B8B">
            <w:pPr>
              <w:rPr>
                <w:rFonts w:ascii="Garamond" w:hAnsi="Garamond"/>
              </w:rPr>
            </w:pPr>
            <w:r w:rsidRPr="005648ED">
              <w:rPr>
                <w:rFonts w:ascii="Garamond" w:hAnsi="Garamond"/>
              </w:rPr>
              <w:t>V2</w:t>
            </w:r>
          </w:p>
        </w:tc>
        <w:tc>
          <w:tcPr>
            <w:tcW w:w="1706" w:type="dxa"/>
          </w:tcPr>
          <w:p w14:paraId="0F20BABF" w14:textId="77777777" w:rsidR="003F1212" w:rsidRPr="005648ED" w:rsidRDefault="003F1212" w:rsidP="00773B8B">
            <w:pPr>
              <w:jc w:val="center"/>
              <w:rPr>
                <w:rFonts w:ascii="Garamond" w:hAnsi="Garamond"/>
              </w:rPr>
            </w:pPr>
          </w:p>
        </w:tc>
        <w:tc>
          <w:tcPr>
            <w:tcW w:w="3402" w:type="dxa"/>
          </w:tcPr>
          <w:p w14:paraId="75A8E6BC" w14:textId="77777777" w:rsidR="003F1212" w:rsidRPr="005648ED" w:rsidRDefault="003F1212" w:rsidP="00773B8B">
            <w:pPr>
              <w:jc w:val="center"/>
              <w:rPr>
                <w:rFonts w:ascii="Garamond" w:hAnsi="Garamond"/>
              </w:rPr>
            </w:pPr>
          </w:p>
        </w:tc>
        <w:tc>
          <w:tcPr>
            <w:tcW w:w="3402" w:type="dxa"/>
          </w:tcPr>
          <w:p w14:paraId="6BA8A0B9" w14:textId="77777777" w:rsidR="003F1212" w:rsidRPr="005648ED" w:rsidRDefault="003F1212" w:rsidP="00773B8B">
            <w:pPr>
              <w:jc w:val="center"/>
              <w:rPr>
                <w:rFonts w:ascii="Garamond" w:hAnsi="Garamond"/>
              </w:rPr>
            </w:pPr>
          </w:p>
        </w:tc>
      </w:tr>
    </w:tbl>
    <w:p w14:paraId="65E410EE" w14:textId="77777777" w:rsidR="003F1212" w:rsidRPr="005648ED" w:rsidRDefault="003F1212" w:rsidP="003F1212">
      <w:pPr>
        <w:rPr>
          <w:rFonts w:ascii="Garamond" w:hAnsi="Garamond"/>
        </w:rPr>
      </w:pPr>
    </w:p>
    <w:bookmarkEnd w:id="0"/>
    <w:p w14:paraId="796A641B" w14:textId="77777777" w:rsidR="003F1212" w:rsidRPr="005648ED" w:rsidRDefault="003F1212" w:rsidP="003F1212">
      <w:pPr>
        <w:rPr>
          <w:rFonts w:ascii="Garamond" w:hAnsi="Garamond"/>
        </w:rPr>
      </w:pPr>
    </w:p>
    <w:p w14:paraId="018F645C" w14:textId="77777777" w:rsidR="003F1212" w:rsidRPr="005648ED" w:rsidRDefault="003F1212" w:rsidP="003F1212">
      <w:pPr>
        <w:rPr>
          <w:rFonts w:ascii="Garamond" w:hAnsi="Garamond"/>
        </w:rPr>
      </w:pPr>
    </w:p>
    <w:p w14:paraId="009B7882" w14:textId="77777777" w:rsidR="003F1212" w:rsidRPr="005648ED" w:rsidRDefault="003F1212">
      <w:pPr>
        <w:rPr>
          <w:rFonts w:ascii="Garamond" w:hAnsi="Garamond"/>
        </w:rPr>
      </w:pPr>
    </w:p>
    <w:p w14:paraId="4AE2C7D2" w14:textId="2F6D534A" w:rsidR="00F9650B" w:rsidRPr="005648ED" w:rsidRDefault="00CE6484" w:rsidP="00E44C24">
      <w:pPr>
        <w:pStyle w:val="Titre1"/>
        <w:jc w:val="both"/>
        <w:rPr>
          <w:rFonts w:ascii="Garamond" w:hAnsi="Garamond" w:cs="Times New Roman"/>
          <w:b w:val="0"/>
        </w:rPr>
      </w:pPr>
      <w:bookmarkStart w:id="1" w:name="_Toc37621314"/>
      <w:bookmarkStart w:id="2" w:name="_Toc105689503"/>
      <w:r w:rsidRPr="005648ED">
        <w:rPr>
          <w:rFonts w:ascii="Garamond" w:hAnsi="Garamond" w:cs="Times New Roman"/>
        </w:rPr>
        <w:t>1</w:t>
      </w:r>
      <w:r w:rsidR="00F9650B" w:rsidRPr="005648ED">
        <w:rPr>
          <w:rFonts w:ascii="Garamond" w:hAnsi="Garamond" w:cs="Times New Roman"/>
        </w:rPr>
        <w:t xml:space="preserve">. </w:t>
      </w:r>
      <w:bookmarkEnd w:id="1"/>
      <w:r w:rsidR="00E94D51" w:rsidRPr="005648ED">
        <w:rPr>
          <w:rFonts w:ascii="Garamond" w:hAnsi="Garamond"/>
        </w:rPr>
        <w:t>Contexte réglementaire</w:t>
      </w:r>
      <w:bookmarkEnd w:id="2"/>
    </w:p>
    <w:p w14:paraId="7755E38D" w14:textId="2885E2DD" w:rsidR="00E94D51" w:rsidRPr="005648ED" w:rsidRDefault="00E94D51" w:rsidP="00E94D51">
      <w:pPr>
        <w:jc w:val="both"/>
        <w:rPr>
          <w:rFonts w:ascii="Garamond" w:hAnsi="Garamond"/>
          <w:color w:val="333333"/>
        </w:rPr>
      </w:pPr>
    </w:p>
    <w:p w14:paraId="5E11B309" w14:textId="51DB1D44" w:rsidR="00E94D51" w:rsidRPr="005648ED" w:rsidRDefault="00E94D51" w:rsidP="00E94D51">
      <w:pPr>
        <w:jc w:val="both"/>
        <w:rPr>
          <w:rFonts w:ascii="Garamond" w:hAnsi="Garamond"/>
        </w:rPr>
      </w:pPr>
      <w:r w:rsidRPr="005648ED">
        <w:rPr>
          <w:rFonts w:ascii="Garamond" w:hAnsi="Garamond"/>
        </w:rPr>
        <w:t>L’article 29 de la loi 2019-1147 du 8 novembre 2019 relative à l’énergie et au climat, dite « énergie climat » (« article 29 ») modifie les dispositions de l’article L. 533-22-1 du code monétaire et financier (« CMF ») relatives au rapport extra-financier.</w:t>
      </w:r>
    </w:p>
    <w:p w14:paraId="5DFE8B13" w14:textId="77777777" w:rsidR="00E94D51" w:rsidRPr="005648ED" w:rsidRDefault="00E94D51" w:rsidP="00E94D51">
      <w:pPr>
        <w:jc w:val="both"/>
        <w:rPr>
          <w:rFonts w:ascii="Garamond" w:hAnsi="Garamond"/>
        </w:rPr>
      </w:pPr>
    </w:p>
    <w:p w14:paraId="680E4DD0" w14:textId="77777777" w:rsidR="00E94D51" w:rsidRPr="005648ED" w:rsidRDefault="00E94D51" w:rsidP="00E94D51">
      <w:pPr>
        <w:jc w:val="both"/>
        <w:rPr>
          <w:rFonts w:ascii="Garamond" w:hAnsi="Garamond"/>
        </w:rPr>
      </w:pPr>
      <w:r w:rsidRPr="005648ED">
        <w:rPr>
          <w:rFonts w:ascii="Garamond" w:hAnsi="Garamond"/>
        </w:rPr>
        <w:t>Publié le 27 mai 2021, le décret d’application de l’article 29, qui modifie l’article D. 533-16-1 du CMF, détaille les informations à publier dans ce rapport, concernant :</w:t>
      </w:r>
    </w:p>
    <w:p w14:paraId="07CC13D6" w14:textId="10C0DC96" w:rsidR="00E94D51" w:rsidRPr="005648ED" w:rsidRDefault="00E94D51" w:rsidP="001C0F0F">
      <w:pPr>
        <w:pStyle w:val="Paragraphedeliste"/>
        <w:numPr>
          <w:ilvl w:val="0"/>
          <w:numId w:val="5"/>
        </w:numPr>
        <w:jc w:val="both"/>
        <w:rPr>
          <w:rFonts w:ascii="Garamond" w:hAnsi="Garamond"/>
          <w:color w:val="333333"/>
        </w:rPr>
      </w:pPr>
      <w:r w:rsidRPr="005648ED">
        <w:rPr>
          <w:rFonts w:ascii="Garamond" w:hAnsi="Garamond"/>
          <w:color w:val="333333"/>
        </w:rPr>
        <w:t>La prise en compte dans la politique d’investissement, des critères environnementaux, sociaux et de gouvernance (« critères ESG ») ;</w:t>
      </w:r>
    </w:p>
    <w:p w14:paraId="3B21A21A" w14:textId="77777777" w:rsidR="00E94D51" w:rsidRPr="005648ED" w:rsidRDefault="00E94D51" w:rsidP="001C0F0F">
      <w:pPr>
        <w:pStyle w:val="Paragraphedeliste"/>
        <w:numPr>
          <w:ilvl w:val="0"/>
          <w:numId w:val="5"/>
        </w:numPr>
        <w:jc w:val="both"/>
        <w:rPr>
          <w:rFonts w:ascii="Garamond" w:hAnsi="Garamond"/>
          <w:color w:val="333333"/>
        </w:rPr>
      </w:pPr>
      <w:r w:rsidRPr="005648ED">
        <w:rPr>
          <w:rFonts w:ascii="Garamond" w:hAnsi="Garamond"/>
          <w:color w:val="333333"/>
        </w:rPr>
        <w:t>Les moyens mis en place pour contribuer à la transition énergétique et écologique.</w:t>
      </w:r>
    </w:p>
    <w:p w14:paraId="38A010AD" w14:textId="77777777" w:rsidR="007C57C6" w:rsidRPr="005648ED" w:rsidRDefault="007C57C6" w:rsidP="007C57C6">
      <w:pPr>
        <w:jc w:val="both"/>
        <w:rPr>
          <w:rFonts w:ascii="Garamond" w:hAnsi="Garamond"/>
          <w:color w:val="333333"/>
        </w:rPr>
      </w:pPr>
    </w:p>
    <w:p w14:paraId="0BD2D754" w14:textId="47C6966E" w:rsidR="009D0B1D" w:rsidRPr="005648ED" w:rsidRDefault="009D0B1D" w:rsidP="009D0B1D">
      <w:pPr>
        <w:pStyle w:val="Titre1"/>
        <w:jc w:val="both"/>
        <w:rPr>
          <w:rFonts w:ascii="Garamond" w:hAnsi="Garamond" w:cs="Times New Roman"/>
        </w:rPr>
      </w:pPr>
      <w:bookmarkStart w:id="3" w:name="_Toc105689504"/>
      <w:r w:rsidRPr="005648ED">
        <w:rPr>
          <w:rFonts w:ascii="Garamond" w:hAnsi="Garamond" w:cs="Times New Roman"/>
        </w:rPr>
        <w:t xml:space="preserve">2. </w:t>
      </w:r>
      <w:r w:rsidR="003F1212" w:rsidRPr="005648ED">
        <w:rPr>
          <w:rFonts w:ascii="Garamond" w:hAnsi="Garamond" w:cs="Times New Roman"/>
        </w:rPr>
        <w:t>I</w:t>
      </w:r>
      <w:r w:rsidR="00E94D51" w:rsidRPr="005648ED">
        <w:rPr>
          <w:rFonts w:ascii="Garamond" w:hAnsi="Garamond" w:cs="Times New Roman"/>
        </w:rPr>
        <w:t>ntroduction</w:t>
      </w:r>
      <w:bookmarkEnd w:id="3"/>
    </w:p>
    <w:p w14:paraId="122B400D" w14:textId="77777777" w:rsidR="001F736A" w:rsidRDefault="001F736A" w:rsidP="003A0796">
      <w:pPr>
        <w:rPr>
          <w:rFonts w:ascii="Garamond" w:hAnsi="Garamond"/>
        </w:rPr>
      </w:pPr>
    </w:p>
    <w:p w14:paraId="3A261DC8" w14:textId="219385BF" w:rsidR="007422E8" w:rsidRPr="005648ED" w:rsidRDefault="007422E8" w:rsidP="003A0796">
      <w:pPr>
        <w:rPr>
          <w:rFonts w:ascii="Garamond" w:hAnsi="Garamond"/>
        </w:rPr>
      </w:pPr>
      <w:r>
        <w:rPr>
          <w:rFonts w:ascii="Garamond" w:hAnsi="Garamond"/>
        </w:rPr>
        <w:t>La société de gestion Aequam Capital a mis en place un processus de sélection lié à des critères ESG. Ces critères et la méthodologie appliquée sont le fruit d’une réflexion de plusieurs années. C</w:t>
      </w:r>
      <w:r w:rsidR="007D3DF4">
        <w:rPr>
          <w:rFonts w:ascii="Garamond" w:hAnsi="Garamond"/>
        </w:rPr>
        <w:t>e travail</w:t>
      </w:r>
      <w:r>
        <w:rPr>
          <w:rFonts w:ascii="Garamond" w:hAnsi="Garamond"/>
        </w:rPr>
        <w:t xml:space="preserve"> a été facilité par la création d’une chaire de </w:t>
      </w:r>
      <w:r w:rsidR="007D3DF4">
        <w:rPr>
          <w:rFonts w:ascii="Garamond" w:hAnsi="Garamond"/>
        </w:rPr>
        <w:t>recherche sur l’ESG dès 201</w:t>
      </w:r>
      <w:r w:rsidR="00523D94">
        <w:rPr>
          <w:rFonts w:ascii="Garamond" w:hAnsi="Garamond"/>
        </w:rPr>
        <w:t>7</w:t>
      </w:r>
      <w:r w:rsidR="007D3DF4">
        <w:rPr>
          <w:rFonts w:ascii="Garamond" w:hAnsi="Garamond"/>
        </w:rPr>
        <w:t>. Le directeur de la chaire est un spécialiste international de l’ESG</w:t>
      </w:r>
      <w:r>
        <w:rPr>
          <w:rFonts w:ascii="Garamond" w:hAnsi="Garamond"/>
        </w:rPr>
        <w:t xml:space="preserve"> </w:t>
      </w:r>
      <w:r w:rsidR="007D3DF4">
        <w:rPr>
          <w:rFonts w:ascii="Garamond" w:hAnsi="Garamond"/>
        </w:rPr>
        <w:t xml:space="preserve">et est enseignant-chercheur au MIT. Grâce à cela, nous avons pu mettre </w:t>
      </w:r>
      <w:r w:rsidR="00AD4B75">
        <w:rPr>
          <w:rFonts w:ascii="Garamond" w:hAnsi="Garamond"/>
        </w:rPr>
        <w:t xml:space="preserve">à jour notre prospectus afin d’être aligné à </w:t>
      </w:r>
      <w:r w:rsidR="00AD4B75" w:rsidRPr="001F736A">
        <w:rPr>
          <w:rFonts w:ascii="Garamond" w:hAnsi="Garamond"/>
          <w:b/>
          <w:bCs/>
        </w:rPr>
        <w:t>l’article 8</w:t>
      </w:r>
      <w:r w:rsidR="00AD4B75" w:rsidRPr="00AD4B75">
        <w:rPr>
          <w:rFonts w:ascii="Garamond" w:hAnsi="Garamond"/>
        </w:rPr>
        <w:t xml:space="preserve"> </w:t>
      </w:r>
      <w:r w:rsidR="00AD4B75">
        <w:rPr>
          <w:rFonts w:ascii="Garamond" w:hAnsi="Garamond"/>
        </w:rPr>
        <w:t>de la règlementation SFDR. Depuis, nous avons poursuivi notre recherche et n</w:t>
      </w:r>
      <w:r w:rsidR="001F736A">
        <w:rPr>
          <w:rFonts w:ascii="Garamond" w:hAnsi="Garamond"/>
        </w:rPr>
        <w:t>os analyses afin de mieux répondre aux problématiques du réchauffement climatique (température alignée aux accords de Paris) en particulier et aux objectifs de développement durable de façon plus générale.</w:t>
      </w:r>
    </w:p>
    <w:p w14:paraId="0B8DC8E7" w14:textId="77777777" w:rsidR="003A0796" w:rsidRPr="005648ED" w:rsidRDefault="003A0796" w:rsidP="003A0796">
      <w:pPr>
        <w:rPr>
          <w:rFonts w:ascii="Garamond" w:hAnsi="Garamond"/>
        </w:rPr>
      </w:pPr>
    </w:p>
    <w:p w14:paraId="2A18341B" w14:textId="36BC1181" w:rsidR="003A0796" w:rsidRPr="005648ED" w:rsidRDefault="003A0796" w:rsidP="003A0796">
      <w:pPr>
        <w:pStyle w:val="Titre1"/>
        <w:jc w:val="both"/>
        <w:rPr>
          <w:rFonts w:ascii="Garamond" w:hAnsi="Garamond" w:cs="Times New Roman"/>
        </w:rPr>
      </w:pPr>
      <w:bookmarkStart w:id="4" w:name="_Toc105689505"/>
      <w:r w:rsidRPr="005648ED">
        <w:rPr>
          <w:rFonts w:ascii="Garamond" w:hAnsi="Garamond" w:cs="Times New Roman"/>
        </w:rPr>
        <w:t>3. Article D. 533-16-1, 2° du CMF</w:t>
      </w:r>
      <w:bookmarkEnd w:id="4"/>
    </w:p>
    <w:p w14:paraId="5323967C" w14:textId="77777777" w:rsidR="00DE062A" w:rsidRPr="005648ED" w:rsidRDefault="00DE062A" w:rsidP="003A0796">
      <w:pPr>
        <w:jc w:val="both"/>
        <w:rPr>
          <w:rFonts w:ascii="Garamond" w:hAnsi="Garamond" w:cs="Arial"/>
          <w:b/>
          <w:bCs/>
          <w:color w:val="002060"/>
        </w:rPr>
      </w:pPr>
    </w:p>
    <w:p w14:paraId="1DD1AC4F" w14:textId="0086E881" w:rsidR="003A0796" w:rsidRPr="005648ED" w:rsidRDefault="003A0796" w:rsidP="001C0F0F">
      <w:pPr>
        <w:pStyle w:val="T2modleAGAMA"/>
        <w:numPr>
          <w:ilvl w:val="0"/>
          <w:numId w:val="6"/>
        </w:numPr>
      </w:pPr>
      <w:bookmarkStart w:id="5" w:name="_Toc105689506"/>
      <w:r w:rsidRPr="005648ED">
        <w:t xml:space="preserve">Article D. 533-16-1, II, 2°, a – Part en pourcentage et montant en euros des encours </w:t>
      </w:r>
      <w:proofErr w:type="gramStart"/>
      <w:r w:rsidRPr="005648ED">
        <w:t>du</w:t>
      </w:r>
      <w:proofErr w:type="gramEnd"/>
      <w:r w:rsidRPr="005648ED">
        <w:t xml:space="preserve"> bilan</w:t>
      </w:r>
      <w:bookmarkEnd w:id="5"/>
    </w:p>
    <w:p w14:paraId="1A2FED00" w14:textId="77777777" w:rsidR="00AF3C1B" w:rsidRPr="005648ED" w:rsidRDefault="00AF3C1B" w:rsidP="006118AA">
      <w:pPr>
        <w:jc w:val="both"/>
        <w:rPr>
          <w:rFonts w:ascii="Garamond" w:hAnsi="Garamond"/>
        </w:rPr>
      </w:pPr>
    </w:p>
    <w:p w14:paraId="76361CE2" w14:textId="100EDCAF" w:rsidR="00AF3C1B" w:rsidRPr="005648ED" w:rsidRDefault="004C2E70" w:rsidP="006118AA">
      <w:pPr>
        <w:rPr>
          <w:rFonts w:ascii="Garamond" w:hAnsi="Garamond"/>
        </w:rPr>
      </w:pPr>
      <w:r>
        <w:rPr>
          <w:rFonts w:ascii="Garamond" w:hAnsi="Garamond"/>
        </w:rPr>
        <w:t>N/A</w:t>
      </w:r>
    </w:p>
    <w:p w14:paraId="24C4939A" w14:textId="77777777" w:rsidR="003A0796" w:rsidRPr="005648ED" w:rsidRDefault="003A0796" w:rsidP="006118AA">
      <w:pPr>
        <w:jc w:val="both"/>
        <w:rPr>
          <w:rFonts w:ascii="Garamond" w:hAnsi="Garamond" w:cs="Arial"/>
          <w:b/>
          <w:bCs/>
          <w:color w:val="002060"/>
        </w:rPr>
      </w:pPr>
    </w:p>
    <w:p w14:paraId="245F4B58" w14:textId="77777777" w:rsidR="003A0796" w:rsidRPr="005648ED" w:rsidRDefault="003A0796" w:rsidP="001C0F0F">
      <w:pPr>
        <w:pStyle w:val="T2modleAGAMA"/>
        <w:numPr>
          <w:ilvl w:val="0"/>
          <w:numId w:val="6"/>
        </w:numPr>
      </w:pPr>
      <w:bookmarkStart w:id="6" w:name="_Toc105689507"/>
      <w:r w:rsidRPr="005648ED">
        <w:t>Article D. 533-16-1, II, 2°, b – Périmètre des entités et produits financiers auxquels la prise en compte des critères ESG s’applique</w:t>
      </w:r>
      <w:bookmarkEnd w:id="6"/>
      <w:r w:rsidRPr="005648ED">
        <w:t xml:space="preserve"> </w:t>
      </w:r>
    </w:p>
    <w:p w14:paraId="0F1E8051" w14:textId="77777777" w:rsidR="00AF3C1B" w:rsidRPr="005648ED" w:rsidRDefault="00AF3C1B" w:rsidP="006118AA">
      <w:pPr>
        <w:jc w:val="both"/>
        <w:rPr>
          <w:rFonts w:ascii="Garamond" w:hAnsi="Garamond" w:cs="Arial"/>
        </w:rPr>
      </w:pPr>
    </w:p>
    <w:p w14:paraId="76DA44FC" w14:textId="5AD1DD35" w:rsidR="003A0796" w:rsidRPr="005648ED" w:rsidRDefault="004C2E70" w:rsidP="006118AA">
      <w:pPr>
        <w:rPr>
          <w:rFonts w:ascii="Garamond" w:hAnsi="Garamond"/>
        </w:rPr>
      </w:pPr>
      <w:r>
        <w:rPr>
          <w:rFonts w:ascii="Garamond" w:hAnsi="Garamond" w:cs="Arial"/>
        </w:rPr>
        <w:t>L’ensemble des fonds sous gestion</w:t>
      </w:r>
    </w:p>
    <w:p w14:paraId="2E956578" w14:textId="77777777" w:rsidR="003A0796" w:rsidRPr="005648ED" w:rsidRDefault="003A0796" w:rsidP="006118AA">
      <w:pPr>
        <w:jc w:val="both"/>
        <w:rPr>
          <w:rFonts w:ascii="Garamond" w:hAnsi="Garamond" w:cs="Arial"/>
          <w:b/>
          <w:bCs/>
          <w:i/>
          <w:iCs/>
          <w:color w:val="002060"/>
        </w:rPr>
      </w:pPr>
    </w:p>
    <w:p w14:paraId="3462720E" w14:textId="77777777" w:rsidR="003A0796" w:rsidRPr="005648ED" w:rsidRDefault="003A0796" w:rsidP="001C0F0F">
      <w:pPr>
        <w:pStyle w:val="T2modleAGAMA"/>
        <w:numPr>
          <w:ilvl w:val="0"/>
          <w:numId w:val="6"/>
        </w:numPr>
      </w:pPr>
      <w:bookmarkStart w:id="7" w:name="_Toc105689508"/>
      <w:r w:rsidRPr="005648ED">
        <w:t>Article D. 533-16-1, II, 2°, c – Part de données estimées ou données réelles, sur le total des encours gérés par l’entité et, le cas échéant, sur le total des encours du produit financier concerné</w:t>
      </w:r>
      <w:bookmarkEnd w:id="7"/>
    </w:p>
    <w:p w14:paraId="07CA5DD1" w14:textId="77777777" w:rsidR="00AF3C1B" w:rsidRPr="005648ED" w:rsidRDefault="00AF3C1B" w:rsidP="006118AA">
      <w:pPr>
        <w:jc w:val="both"/>
        <w:rPr>
          <w:rFonts w:ascii="Garamond" w:hAnsi="Garamond" w:cs="Arial"/>
        </w:rPr>
      </w:pPr>
    </w:p>
    <w:p w14:paraId="3FBE452C" w14:textId="764B8B94" w:rsidR="003A0796" w:rsidRPr="005648ED" w:rsidRDefault="007422E8" w:rsidP="006118AA">
      <w:pPr>
        <w:rPr>
          <w:rFonts w:ascii="Garamond" w:hAnsi="Garamond"/>
        </w:rPr>
      </w:pPr>
      <w:r>
        <w:rPr>
          <w:rFonts w:ascii="Garamond" w:hAnsi="Garamond" w:cs="Arial"/>
        </w:rPr>
        <w:t>100%</w:t>
      </w:r>
    </w:p>
    <w:p w14:paraId="01708AC5" w14:textId="77777777" w:rsidR="003A0796" w:rsidRPr="002415D0" w:rsidRDefault="003A0796" w:rsidP="006118AA">
      <w:pPr>
        <w:jc w:val="both"/>
        <w:rPr>
          <w:rFonts w:ascii="Garamond" w:hAnsi="Garamond" w:cs="Arial"/>
          <w:color w:val="002060"/>
        </w:rPr>
      </w:pPr>
    </w:p>
    <w:p w14:paraId="55885C9D" w14:textId="77777777" w:rsidR="003A0796" w:rsidRPr="005648ED" w:rsidRDefault="003A0796" w:rsidP="001C0F0F">
      <w:pPr>
        <w:pStyle w:val="T2modleAGAMA"/>
        <w:numPr>
          <w:ilvl w:val="0"/>
          <w:numId w:val="6"/>
        </w:numPr>
      </w:pPr>
      <w:bookmarkStart w:id="8" w:name="_Toc105689509"/>
      <w:r w:rsidRPr="005648ED">
        <w:t>Article D. 533-16-1, II, 2°, d et e – Lorsqu’un échéancier est fixé, la date d’entrée en vigueur des engagements, et méthodologies et bases de données sur lesquelles s’appuie l’analyse quantitative, le cas échéant</w:t>
      </w:r>
      <w:bookmarkEnd w:id="8"/>
    </w:p>
    <w:p w14:paraId="3DFD813D" w14:textId="03F2B7BD" w:rsidR="00AF3C1B" w:rsidRPr="005648ED" w:rsidRDefault="00F84AD0" w:rsidP="007422E8">
      <w:pPr>
        <w:ind w:firstLine="708"/>
        <w:rPr>
          <w:rFonts w:ascii="Garamond" w:hAnsi="Garamond"/>
        </w:rPr>
      </w:pPr>
      <w:r>
        <w:rPr>
          <w:rFonts w:ascii="Garamond" w:hAnsi="Garamond"/>
        </w:rPr>
        <w:t>La méthodologie de sélection ESG a été mise en place début 2021 et l’entrée en vigueur effective est le 1</w:t>
      </w:r>
      <w:r w:rsidRPr="00F84AD0">
        <w:rPr>
          <w:rFonts w:ascii="Garamond" w:hAnsi="Garamond"/>
          <w:vertAlign w:val="superscript"/>
        </w:rPr>
        <w:t>er</w:t>
      </w:r>
      <w:r>
        <w:rPr>
          <w:rFonts w:ascii="Garamond" w:hAnsi="Garamond"/>
        </w:rPr>
        <w:t xml:space="preserve"> avril 2021.</w:t>
      </w:r>
    </w:p>
    <w:p w14:paraId="5E02FB5C" w14:textId="77777777" w:rsidR="003A0796" w:rsidRPr="005648ED" w:rsidRDefault="003A0796" w:rsidP="003A0796">
      <w:pPr>
        <w:jc w:val="both"/>
        <w:rPr>
          <w:rFonts w:ascii="Garamond" w:hAnsi="Garamond" w:cs="Arial"/>
          <w:sz w:val="20"/>
          <w:szCs w:val="20"/>
        </w:rPr>
      </w:pPr>
    </w:p>
    <w:p w14:paraId="3371E392" w14:textId="4D14D101" w:rsidR="003A0796" w:rsidRPr="005648ED" w:rsidRDefault="003A0796" w:rsidP="003A0796">
      <w:pPr>
        <w:pStyle w:val="Titre1"/>
        <w:jc w:val="both"/>
        <w:rPr>
          <w:rFonts w:ascii="Garamond" w:hAnsi="Garamond" w:cs="Times New Roman"/>
        </w:rPr>
      </w:pPr>
      <w:bookmarkStart w:id="9" w:name="_Toc105689510"/>
      <w:r w:rsidRPr="005648ED">
        <w:rPr>
          <w:rFonts w:ascii="Garamond" w:hAnsi="Garamond" w:cs="Times New Roman"/>
        </w:rPr>
        <w:t>4. Article D. 533-16-1, III, 1° – Informations relatives à la démarche générale de la société de gestion</w:t>
      </w:r>
      <w:bookmarkEnd w:id="9"/>
    </w:p>
    <w:p w14:paraId="16B243AA" w14:textId="77777777" w:rsidR="006118AA" w:rsidRPr="005648ED" w:rsidRDefault="006118AA" w:rsidP="00DF35FA">
      <w:pPr>
        <w:pStyle w:val="T2modleAGAMA"/>
        <w:numPr>
          <w:ilvl w:val="0"/>
          <w:numId w:val="0"/>
        </w:numPr>
        <w:ind w:left="1069"/>
      </w:pPr>
    </w:p>
    <w:p w14:paraId="33342823" w14:textId="4FDA9A43" w:rsidR="003A0796" w:rsidRPr="005648ED" w:rsidRDefault="003A0796" w:rsidP="00DF35FA">
      <w:pPr>
        <w:pStyle w:val="T2modleAGAMA"/>
      </w:pPr>
      <w:bookmarkStart w:id="10" w:name="_Toc105689511"/>
      <w:r w:rsidRPr="005648ED">
        <w:t>Article D. 533-16-1, III, 1°, a – Présentation résumée de la démarche générale de l’entité sur la prise en compte des critères ESG dans la politique et stratégie d’investissement</w:t>
      </w:r>
      <w:bookmarkEnd w:id="10"/>
    </w:p>
    <w:p w14:paraId="105CDD73" w14:textId="77777777" w:rsidR="006118AA" w:rsidRPr="005648ED" w:rsidRDefault="006118AA" w:rsidP="00DF35FA">
      <w:pPr>
        <w:pStyle w:val="T2modleAGAMA"/>
        <w:numPr>
          <w:ilvl w:val="0"/>
          <w:numId w:val="0"/>
        </w:numPr>
      </w:pPr>
    </w:p>
    <w:p w14:paraId="6CBB93C6" w14:textId="77777777" w:rsidR="006C7D44" w:rsidRDefault="006C7D44" w:rsidP="006C7D44">
      <w:pPr>
        <w:spacing w:after="160" w:line="254" w:lineRule="auto"/>
        <w:rPr>
          <w:sz w:val="22"/>
          <w:szCs w:val="22"/>
        </w:rPr>
      </w:pPr>
      <w:r>
        <w:t xml:space="preserve">En notre qualité d’investisseur, nous accordons une grande importance au rôle que peuvent jouer les entreprises que nous sélectionnons et tout particulièrement, nous analysons les risques réglementaires, financiers et sociaux auxquelles ces entreprises sont confrontées. Nous sommes convaincus qu’une mauvaise maîtrise des risques ESG d’une entreprise entraîne à terme des risques de dégradation de sa rentabilité financière et représente une menace réputationnelle significative qu’il convient de circonscrire. Nous avons aussi conscience que l’application de mesures d’exclusion sur des bases ESG peut représenter un coût financier à court-terme (sous-performance par rapport à l’indice de référence) mais constitue à long terme un gage durable devant permettre à la fois d’améliorer les caractéristiques extra-financières du portefeuille mais aussi de renforcer ses performances financières. </w:t>
      </w:r>
    </w:p>
    <w:p w14:paraId="5283FAAB" w14:textId="79F5B200" w:rsidR="006C7D44" w:rsidRDefault="006C7D44" w:rsidP="006C7D44">
      <w:pPr>
        <w:spacing w:after="160" w:line="254" w:lineRule="auto"/>
      </w:pPr>
      <w:r>
        <w:t xml:space="preserve">Les équipes d’Aequam Capital s’appuient sur des bases de données externes provenant de grandes institutions de rating et qui proposent des notations pour les entreprises européennes sur les différents aspects Environnementaux, Sociaux et de Gouvernance. </w:t>
      </w:r>
    </w:p>
    <w:p w14:paraId="4C237E2A" w14:textId="1377FDEC" w:rsidR="00E82389" w:rsidRDefault="00E82389" w:rsidP="00E82389">
      <w:pPr>
        <w:rPr>
          <w:sz w:val="22"/>
          <w:szCs w:val="22"/>
        </w:rPr>
      </w:pPr>
      <w:r>
        <w:t>N</w:t>
      </w:r>
      <w:r w:rsidR="006C7D44">
        <w:t>ous appliquons un filtre ESG à partir de notre méthodologie de dé</w:t>
      </w:r>
      <w:r>
        <w:t>-</w:t>
      </w:r>
      <w:r w:rsidR="006C7D44">
        <w:t xml:space="preserve">bruitage qui nous permet d’éliminer toutes les valeurs </w:t>
      </w:r>
      <w:r>
        <w:t>q</w:t>
      </w:r>
      <w:r w:rsidR="006C7D44">
        <w:t xml:space="preserve">ui ne répondent pas à nos critères d’exigence ESG (nous définissons une note ESG de principe en-dessous de laquelle les entreprises sont automatiquement exclues). </w:t>
      </w:r>
      <w:r>
        <w:t xml:space="preserve">Par ailleurs, nous montrons une plus forte exigence à l’égard des entreprises qui ne sont pas signataires du Global Compact des Nations Unies. Les dix principes du Global Compact des Nations-Unies reposent sur le respect des droits de l’Homme, sur les normes internationales du travail, sur le respect de l’environnement et sur la lutte contre la corruption. </w:t>
      </w:r>
    </w:p>
    <w:p w14:paraId="2510EA84" w14:textId="08ABE5EE" w:rsidR="006C7D44" w:rsidRDefault="006C7D44" w:rsidP="006C7D44"/>
    <w:p w14:paraId="497E12BA" w14:textId="77777777" w:rsidR="006C7D44" w:rsidRPr="005648ED" w:rsidRDefault="006C7D44" w:rsidP="006118AA">
      <w:pPr>
        <w:jc w:val="both"/>
        <w:rPr>
          <w:rFonts w:ascii="Garamond" w:hAnsi="Garamond"/>
        </w:rPr>
      </w:pPr>
    </w:p>
    <w:p w14:paraId="35C4D340" w14:textId="77777777" w:rsidR="005648ED" w:rsidRPr="005648ED" w:rsidRDefault="005648ED" w:rsidP="006118AA">
      <w:pPr>
        <w:jc w:val="both"/>
        <w:rPr>
          <w:rFonts w:ascii="Garamond" w:hAnsi="Garamond" w:cs="Arial"/>
          <w:b/>
          <w:bCs/>
          <w:color w:val="002060"/>
        </w:rPr>
      </w:pPr>
    </w:p>
    <w:p w14:paraId="35F4723D" w14:textId="77777777" w:rsidR="003A0796" w:rsidRPr="005648ED" w:rsidRDefault="003A0796" w:rsidP="00DF35FA">
      <w:pPr>
        <w:pStyle w:val="T2modleAGAMA"/>
      </w:pPr>
      <w:bookmarkStart w:id="11" w:name="_Toc105689513"/>
      <w:r w:rsidRPr="005648ED">
        <w:t>Article D. 533-16-1, III, 1°, c – Pourcentage des encours sous gestion catégorisé article 8 et 9 selon le règlement SFDR</w:t>
      </w:r>
      <w:bookmarkEnd w:id="11"/>
    </w:p>
    <w:p w14:paraId="0C70F5A6" w14:textId="77777777" w:rsidR="002E3164" w:rsidRPr="005648ED" w:rsidRDefault="002E3164" w:rsidP="006118AA">
      <w:pPr>
        <w:jc w:val="both"/>
        <w:rPr>
          <w:rFonts w:ascii="Garamond" w:hAnsi="Garamond" w:cs="Arial"/>
        </w:rPr>
      </w:pPr>
    </w:p>
    <w:p w14:paraId="187C7DAF" w14:textId="4B36B2AA" w:rsidR="003A0796" w:rsidRPr="005648ED" w:rsidRDefault="00E82389" w:rsidP="006118AA">
      <w:pPr>
        <w:jc w:val="both"/>
        <w:rPr>
          <w:rFonts w:ascii="Garamond" w:hAnsi="Garamond"/>
        </w:rPr>
      </w:pPr>
      <w:r>
        <w:rPr>
          <w:rFonts w:ascii="Garamond" w:hAnsi="Garamond"/>
        </w:rPr>
        <w:t>100%</w:t>
      </w:r>
    </w:p>
    <w:p w14:paraId="4CE77174" w14:textId="77777777" w:rsidR="005648ED" w:rsidRPr="005648ED" w:rsidRDefault="005648ED" w:rsidP="006118AA">
      <w:pPr>
        <w:jc w:val="both"/>
        <w:rPr>
          <w:rFonts w:ascii="Garamond" w:hAnsi="Garamond" w:cs="Arial"/>
          <w:b/>
          <w:bCs/>
          <w:color w:val="002060"/>
        </w:rPr>
      </w:pPr>
    </w:p>
    <w:p w14:paraId="7AEE6256" w14:textId="77777777" w:rsidR="003A0796" w:rsidRPr="005648ED" w:rsidRDefault="003A0796" w:rsidP="00DF35FA">
      <w:pPr>
        <w:pStyle w:val="T2modleAGAMA"/>
      </w:pPr>
      <w:bookmarkStart w:id="12" w:name="_Toc105689514"/>
      <w:r w:rsidRPr="005648ED">
        <w:t>Article D. 533-16-1, III, 1°, e – Adhésion de l’entité ou de certains produits financiers à une charte, un code, une initiative ou obtention d’un label sur la prise en compte de critères ESG, et description sommaire de ceux-ci</w:t>
      </w:r>
      <w:bookmarkEnd w:id="12"/>
    </w:p>
    <w:p w14:paraId="5303311A" w14:textId="77777777" w:rsidR="002E3164" w:rsidRPr="005648ED" w:rsidRDefault="002E3164" w:rsidP="006118AA">
      <w:pPr>
        <w:jc w:val="both"/>
        <w:rPr>
          <w:rFonts w:ascii="Garamond" w:hAnsi="Garamond" w:cs="Arial"/>
        </w:rPr>
      </w:pPr>
    </w:p>
    <w:p w14:paraId="1FB3C752" w14:textId="1D4D2A6C" w:rsidR="003A0796" w:rsidRPr="005648ED" w:rsidRDefault="00E82389" w:rsidP="003A0796">
      <w:pPr>
        <w:jc w:val="both"/>
        <w:rPr>
          <w:rFonts w:ascii="Garamond" w:hAnsi="Garamond"/>
        </w:rPr>
      </w:pPr>
      <w:r>
        <w:rPr>
          <w:rFonts w:ascii="Garamond" w:hAnsi="Garamond"/>
        </w:rPr>
        <w:lastRenderedPageBreak/>
        <w:t xml:space="preserve">Signataire des PRI. Dossier déposé pour obtenir la certification </w:t>
      </w:r>
      <w:proofErr w:type="spellStart"/>
      <w:proofErr w:type="gramStart"/>
      <w:r>
        <w:rPr>
          <w:rFonts w:ascii="Garamond" w:hAnsi="Garamond"/>
        </w:rPr>
        <w:t>B</w:t>
      </w:r>
      <w:r w:rsidR="007422E8">
        <w:rPr>
          <w:rFonts w:ascii="Garamond" w:hAnsi="Garamond"/>
        </w:rPr>
        <w:t>.</w:t>
      </w:r>
      <w:r>
        <w:rPr>
          <w:rFonts w:ascii="Garamond" w:hAnsi="Garamond"/>
        </w:rPr>
        <w:t>Corp</w:t>
      </w:r>
      <w:proofErr w:type="spellEnd"/>
      <w:proofErr w:type="gramEnd"/>
      <w:r w:rsidR="00D7757A">
        <w:rPr>
          <w:rFonts w:ascii="Garamond" w:hAnsi="Garamond"/>
        </w:rPr>
        <w:t xml:space="preserve"> (liste d’attente </w:t>
      </w:r>
      <w:r w:rsidR="00D36530">
        <w:rPr>
          <w:rFonts w:ascii="Garamond" w:hAnsi="Garamond"/>
        </w:rPr>
        <w:t>d’un</w:t>
      </w:r>
      <w:r w:rsidR="00D7757A">
        <w:rPr>
          <w:rFonts w:ascii="Garamond" w:hAnsi="Garamond"/>
        </w:rPr>
        <w:t xml:space="preserve"> an environ)</w:t>
      </w:r>
    </w:p>
    <w:p w14:paraId="10AC8763" w14:textId="77777777" w:rsidR="005648ED" w:rsidRPr="005648ED" w:rsidRDefault="005648ED" w:rsidP="003A0796">
      <w:pPr>
        <w:jc w:val="both"/>
        <w:rPr>
          <w:rFonts w:ascii="Garamond" w:hAnsi="Garamond" w:cs="Arial"/>
          <w:sz w:val="20"/>
          <w:szCs w:val="20"/>
        </w:rPr>
      </w:pPr>
    </w:p>
    <w:p w14:paraId="4EF25E5E" w14:textId="139B5E0F" w:rsidR="003A0796" w:rsidRPr="005648ED" w:rsidRDefault="003A0796" w:rsidP="002C1232">
      <w:pPr>
        <w:pStyle w:val="Titre1"/>
        <w:jc w:val="both"/>
        <w:rPr>
          <w:rFonts w:ascii="Garamond" w:hAnsi="Garamond" w:cs="Times New Roman"/>
        </w:rPr>
      </w:pPr>
      <w:bookmarkStart w:id="13" w:name="_Toc105689515"/>
      <w:r w:rsidRPr="005648ED">
        <w:rPr>
          <w:rFonts w:ascii="Garamond" w:hAnsi="Garamond" w:cs="Times New Roman"/>
        </w:rPr>
        <w:t>5. Article D. 533-16-1, III, 2° - Informations relatives aux ressources internes déployées par l’entité</w:t>
      </w:r>
      <w:bookmarkEnd w:id="13"/>
    </w:p>
    <w:p w14:paraId="487926A8" w14:textId="77777777" w:rsidR="002C1232" w:rsidRPr="005648ED" w:rsidRDefault="002C1232" w:rsidP="002C1232">
      <w:pPr>
        <w:jc w:val="both"/>
        <w:rPr>
          <w:rFonts w:ascii="Garamond" w:hAnsi="Garamond" w:cs="Arial"/>
          <w:b/>
          <w:bCs/>
          <w:color w:val="002060"/>
        </w:rPr>
      </w:pPr>
    </w:p>
    <w:p w14:paraId="431B2439" w14:textId="6CD24669" w:rsidR="003A0796" w:rsidRPr="005648ED" w:rsidRDefault="003A0796" w:rsidP="001C0F0F">
      <w:pPr>
        <w:pStyle w:val="T2modleAGAMA"/>
        <w:numPr>
          <w:ilvl w:val="0"/>
          <w:numId w:val="12"/>
        </w:numPr>
      </w:pPr>
      <w:bookmarkStart w:id="14" w:name="_Toc105689516"/>
      <w:r w:rsidRPr="005648ED">
        <w:t xml:space="preserve">Article D. 533-16-1, III, 2°, a – Description des ressources financières, humaines et techniques dédiées à la stratégie ESG de </w:t>
      </w:r>
      <w:r w:rsidR="002C1232" w:rsidRPr="005648ED">
        <w:t>la société de gestion</w:t>
      </w:r>
      <w:bookmarkEnd w:id="14"/>
    </w:p>
    <w:p w14:paraId="2A5C89C8" w14:textId="77777777" w:rsidR="002C1232" w:rsidRPr="005648ED" w:rsidRDefault="002C1232" w:rsidP="00DF35FA">
      <w:pPr>
        <w:pStyle w:val="T2modleAGAMA"/>
        <w:numPr>
          <w:ilvl w:val="0"/>
          <w:numId w:val="0"/>
        </w:numPr>
      </w:pPr>
    </w:p>
    <w:p w14:paraId="0BCF3198" w14:textId="7736638D" w:rsidR="003A0796" w:rsidRPr="005648ED" w:rsidRDefault="00D36530" w:rsidP="002C1232">
      <w:pPr>
        <w:jc w:val="both"/>
        <w:rPr>
          <w:rFonts w:ascii="Garamond" w:hAnsi="Garamond" w:cs="Arial"/>
          <w:color w:val="141414"/>
        </w:rPr>
      </w:pPr>
      <w:r>
        <w:rPr>
          <w:rFonts w:ascii="Garamond" w:hAnsi="Garamond" w:cs="Arial"/>
          <w:color w:val="141414"/>
        </w:rPr>
        <w:t xml:space="preserve">Nous </w:t>
      </w:r>
      <w:r w:rsidR="00B44856">
        <w:rPr>
          <w:rFonts w:ascii="Garamond" w:hAnsi="Garamond" w:cs="Arial"/>
          <w:color w:val="141414"/>
        </w:rPr>
        <w:t>disposons d’</w:t>
      </w:r>
      <w:r>
        <w:rPr>
          <w:rFonts w:ascii="Garamond" w:hAnsi="Garamond" w:cs="Arial"/>
          <w:color w:val="141414"/>
        </w:rPr>
        <w:t xml:space="preserve">un abonnement avec MSCI sur les données ESG et utilisons également les données disponibles sur Bloomberg et sur le web. </w:t>
      </w:r>
      <w:r w:rsidR="00D7757A">
        <w:rPr>
          <w:rFonts w:ascii="Garamond" w:hAnsi="Garamond" w:cs="Arial"/>
          <w:color w:val="141414"/>
        </w:rPr>
        <w:t>Du fait de notre expertise quantitative, nous abordons les données sous un angle purement quantitatif, ce qui nous permet de traiter et d’analyser de grandes masses de données disponibles</w:t>
      </w:r>
      <w:r>
        <w:rPr>
          <w:rFonts w:ascii="Garamond" w:hAnsi="Garamond" w:cs="Arial"/>
          <w:color w:val="141414"/>
        </w:rPr>
        <w:t xml:space="preserve">. Toute l’équipe de gestion (trois personnes) consacre du temps à cette expertise et à l’analyse des données. On peut considérer que cela représente </w:t>
      </w:r>
      <w:r w:rsidR="00B44856">
        <w:rPr>
          <w:rFonts w:ascii="Garamond" w:hAnsi="Garamond" w:cs="Arial"/>
          <w:color w:val="141414"/>
        </w:rPr>
        <w:t>l’équivalent d’une personne à plein temps. Aussi, nous bénéficions de l’expertise du directeur de notre chaire de recherche dédiée à l’ESG et par ailleurs spécialiste du sujet, chercheur au MIT.</w:t>
      </w:r>
    </w:p>
    <w:p w14:paraId="26AE5110" w14:textId="77777777" w:rsidR="003A0796" w:rsidRPr="005648ED" w:rsidRDefault="003A0796" w:rsidP="002C1232">
      <w:pPr>
        <w:jc w:val="both"/>
        <w:rPr>
          <w:rFonts w:ascii="Garamond" w:hAnsi="Garamond" w:cs="Arial"/>
          <w:color w:val="141414"/>
        </w:rPr>
      </w:pPr>
    </w:p>
    <w:p w14:paraId="0868992D" w14:textId="174E960D" w:rsidR="003A0796" w:rsidRPr="005648ED" w:rsidRDefault="003A0796" w:rsidP="001C0F0F">
      <w:pPr>
        <w:pStyle w:val="T2modleAGAMA"/>
        <w:numPr>
          <w:ilvl w:val="0"/>
          <w:numId w:val="12"/>
        </w:numPr>
      </w:pPr>
      <w:bookmarkStart w:id="15" w:name="_Toc105689517"/>
      <w:r w:rsidRPr="005648ED">
        <w:t xml:space="preserve">Article D. 533-16-1, III, 2°, b – Actions menées en vue d’un renforcement des capacités internes de </w:t>
      </w:r>
      <w:r w:rsidR="00B9329B" w:rsidRPr="005648ED">
        <w:t>la société de gestion</w:t>
      </w:r>
      <w:bookmarkEnd w:id="15"/>
    </w:p>
    <w:p w14:paraId="7FE48C08" w14:textId="77777777" w:rsidR="00B9329B" w:rsidRPr="005648ED" w:rsidRDefault="00B9329B" w:rsidP="002C1232">
      <w:pPr>
        <w:jc w:val="both"/>
        <w:rPr>
          <w:rFonts w:ascii="Garamond" w:hAnsi="Garamond" w:cs="Arial"/>
          <w:color w:val="141414"/>
        </w:rPr>
      </w:pPr>
    </w:p>
    <w:p w14:paraId="2FC8F5F7" w14:textId="45875CB8" w:rsidR="003A0796" w:rsidRPr="005648ED" w:rsidRDefault="00B44856" w:rsidP="002C1232">
      <w:pPr>
        <w:jc w:val="both"/>
        <w:rPr>
          <w:rFonts w:ascii="Garamond" w:hAnsi="Garamond" w:cs="Arial"/>
          <w:color w:val="141414"/>
        </w:rPr>
      </w:pPr>
      <w:r>
        <w:rPr>
          <w:rFonts w:ascii="Garamond" w:hAnsi="Garamond" w:cs="Arial"/>
          <w:color w:val="141414"/>
        </w:rPr>
        <w:t xml:space="preserve">Renforcement des bases de données utilisées, notamment en ce qui concerne </w:t>
      </w:r>
      <w:proofErr w:type="gramStart"/>
      <w:r>
        <w:rPr>
          <w:rFonts w:ascii="Garamond" w:hAnsi="Garamond" w:cs="Arial"/>
          <w:color w:val="141414"/>
        </w:rPr>
        <w:t>les émissions carbone</w:t>
      </w:r>
      <w:proofErr w:type="gramEnd"/>
      <w:r>
        <w:rPr>
          <w:rFonts w:ascii="Garamond" w:hAnsi="Garamond" w:cs="Arial"/>
          <w:color w:val="141414"/>
        </w:rPr>
        <w:t xml:space="preserve"> et les ODD.</w:t>
      </w:r>
    </w:p>
    <w:p w14:paraId="4B90DB6C" w14:textId="77777777" w:rsidR="003A0796" w:rsidRPr="005648ED" w:rsidRDefault="003A0796" w:rsidP="002C1232">
      <w:pPr>
        <w:jc w:val="both"/>
        <w:rPr>
          <w:rFonts w:ascii="Garamond" w:hAnsi="Garamond" w:cs="Arial"/>
          <w:color w:val="141414"/>
        </w:rPr>
      </w:pPr>
    </w:p>
    <w:p w14:paraId="0F3E9E25" w14:textId="1E7A071F" w:rsidR="003A0796" w:rsidRPr="005648ED" w:rsidRDefault="003A0796" w:rsidP="002C1232">
      <w:pPr>
        <w:pStyle w:val="Titre1"/>
        <w:jc w:val="both"/>
        <w:rPr>
          <w:rFonts w:ascii="Garamond" w:hAnsi="Garamond" w:cs="Times New Roman"/>
        </w:rPr>
      </w:pPr>
      <w:bookmarkStart w:id="16" w:name="_Toc105689518"/>
      <w:r w:rsidRPr="005648ED">
        <w:rPr>
          <w:rFonts w:ascii="Garamond" w:hAnsi="Garamond" w:cs="Times New Roman"/>
        </w:rPr>
        <w:t>6. Article D. 533-16-1, III, 3° - Informations relatives à la démarche de prise en compte des critères ESG au niveau de la gouvernance de l’entité</w:t>
      </w:r>
      <w:bookmarkEnd w:id="16"/>
    </w:p>
    <w:p w14:paraId="3F8C2A9F" w14:textId="77777777" w:rsidR="00B9329B" w:rsidRPr="005648ED" w:rsidRDefault="00B9329B" w:rsidP="002C1232">
      <w:pPr>
        <w:jc w:val="both"/>
        <w:rPr>
          <w:rFonts w:ascii="Garamond" w:hAnsi="Garamond" w:cs="Arial"/>
          <w:b/>
          <w:bCs/>
          <w:color w:val="002060"/>
        </w:rPr>
      </w:pPr>
    </w:p>
    <w:p w14:paraId="7045B819" w14:textId="2B60E70A" w:rsidR="003A0796" w:rsidRPr="005648ED" w:rsidRDefault="003A0796" w:rsidP="001C0F0F">
      <w:pPr>
        <w:pStyle w:val="T2modleAGAMA"/>
        <w:numPr>
          <w:ilvl w:val="0"/>
          <w:numId w:val="13"/>
        </w:numPr>
      </w:pPr>
      <w:bookmarkStart w:id="17" w:name="_Toc105689519"/>
      <w:r w:rsidRPr="005648ED">
        <w:t>Article D. 533-16-1, III, 3°, a – Connaissances, compétences et expérience des instances de gouvernance en matière de prise de décision relatives à l’intégration des critères ESG dans la politique et la stratégie d’investissement</w:t>
      </w:r>
      <w:bookmarkEnd w:id="17"/>
    </w:p>
    <w:p w14:paraId="3C737DB5" w14:textId="62D2FFE2" w:rsidR="003A0796" w:rsidRPr="005648ED" w:rsidRDefault="004C2E70" w:rsidP="002C1232">
      <w:pPr>
        <w:jc w:val="both"/>
        <w:rPr>
          <w:rFonts w:ascii="Garamond" w:hAnsi="Garamond"/>
        </w:rPr>
      </w:pPr>
      <w:r>
        <w:rPr>
          <w:rFonts w:ascii="Garamond" w:hAnsi="Garamond" w:cs="Arial"/>
          <w:color w:val="141414"/>
        </w:rPr>
        <w:t>Une réflexion est en cours sur le sujet</w:t>
      </w:r>
    </w:p>
    <w:p w14:paraId="0F25836E" w14:textId="77777777" w:rsidR="005648ED" w:rsidRPr="005648ED" w:rsidRDefault="005648ED" w:rsidP="002C1232">
      <w:pPr>
        <w:jc w:val="both"/>
        <w:rPr>
          <w:rFonts w:ascii="Garamond" w:hAnsi="Garamond" w:cs="Arial"/>
        </w:rPr>
      </w:pPr>
    </w:p>
    <w:p w14:paraId="35AA62E5" w14:textId="77777777" w:rsidR="003A0796" w:rsidRPr="005648ED" w:rsidRDefault="003A0796" w:rsidP="001C0F0F">
      <w:pPr>
        <w:pStyle w:val="T2modleAGAMA"/>
        <w:numPr>
          <w:ilvl w:val="0"/>
          <w:numId w:val="13"/>
        </w:numPr>
      </w:pPr>
      <w:bookmarkStart w:id="18" w:name="_Toc105689520"/>
      <w:r w:rsidRPr="005648ED">
        <w:t>Article D. 533-16-1, III, 3°, b – Inclusion dans les politiques de rémunération des informations sur la manière dont ces politiques sont adaptées à l’intégration des risques en matière de durabilité</w:t>
      </w:r>
      <w:bookmarkEnd w:id="18"/>
    </w:p>
    <w:p w14:paraId="690A1F2A" w14:textId="77777777" w:rsidR="002E39B6" w:rsidRPr="005648ED" w:rsidRDefault="002E39B6" w:rsidP="002C1232">
      <w:pPr>
        <w:jc w:val="both"/>
        <w:rPr>
          <w:rFonts w:ascii="Garamond" w:hAnsi="Garamond" w:cs="Arial"/>
        </w:rPr>
      </w:pPr>
    </w:p>
    <w:p w14:paraId="70012961" w14:textId="7D08F4A1" w:rsidR="003A0796" w:rsidRDefault="002560AB" w:rsidP="002C1232">
      <w:pPr>
        <w:jc w:val="both"/>
      </w:pPr>
      <w:r>
        <w:rPr>
          <w:rFonts w:ascii="Garamond" w:hAnsi="Garamond"/>
        </w:rPr>
        <w:t xml:space="preserve">Nous </w:t>
      </w:r>
      <w:r w:rsidR="00604B7D">
        <w:rPr>
          <w:rFonts w:ascii="Garamond" w:hAnsi="Garamond"/>
        </w:rPr>
        <w:t>n’avons</w:t>
      </w:r>
      <w:r>
        <w:rPr>
          <w:rFonts w:ascii="Garamond" w:hAnsi="Garamond"/>
        </w:rPr>
        <w:t xml:space="preserve"> pas </w:t>
      </w:r>
      <w:r w:rsidR="00604B7D">
        <w:rPr>
          <w:rFonts w:ascii="Garamond" w:hAnsi="Garamond"/>
        </w:rPr>
        <w:t xml:space="preserve">encore mis </w:t>
      </w:r>
      <w:r w:rsidR="00604B7D" w:rsidRPr="005648ED">
        <w:t>dans les politiques de rémunération</w:t>
      </w:r>
      <w:r w:rsidR="00604B7D">
        <w:t xml:space="preserve"> des éléments liés </w:t>
      </w:r>
      <w:r w:rsidR="00604B7D" w:rsidRPr="005648ED">
        <w:t>à l’intégration des risques en matière de durabilit</w:t>
      </w:r>
      <w:r w:rsidR="00604B7D">
        <w:t>é.</w:t>
      </w:r>
    </w:p>
    <w:p w14:paraId="01DABB63" w14:textId="77777777" w:rsidR="00604B7D" w:rsidRPr="005648ED" w:rsidRDefault="00604B7D" w:rsidP="002C1232">
      <w:pPr>
        <w:jc w:val="both"/>
        <w:rPr>
          <w:rFonts w:ascii="Garamond" w:hAnsi="Garamond" w:cs="Arial"/>
        </w:rPr>
      </w:pPr>
    </w:p>
    <w:p w14:paraId="779D5244" w14:textId="77777777" w:rsidR="003A0796" w:rsidRPr="005648ED" w:rsidRDefault="003A0796" w:rsidP="001C0F0F">
      <w:pPr>
        <w:pStyle w:val="T2modleAGAMA"/>
        <w:numPr>
          <w:ilvl w:val="0"/>
          <w:numId w:val="13"/>
        </w:numPr>
      </w:pPr>
      <w:bookmarkStart w:id="19" w:name="_Toc105689521"/>
      <w:r w:rsidRPr="005648ED">
        <w:t>Article D. 533-16-1, III, 3°, c – Intégration des critères ESG dans le règlement interne du conseil d’administration et de surveillance de l’entité</w:t>
      </w:r>
      <w:bookmarkEnd w:id="19"/>
      <w:r w:rsidRPr="005648ED">
        <w:t xml:space="preserve"> </w:t>
      </w:r>
    </w:p>
    <w:p w14:paraId="77B8429B" w14:textId="77777777" w:rsidR="00784845" w:rsidRDefault="00784845" w:rsidP="005648ED">
      <w:pPr>
        <w:jc w:val="both"/>
        <w:rPr>
          <w:rFonts w:ascii="Garamond" w:hAnsi="Garamond"/>
        </w:rPr>
      </w:pPr>
    </w:p>
    <w:p w14:paraId="71EAA20D" w14:textId="22F185FC" w:rsidR="005648ED" w:rsidRPr="005648ED" w:rsidRDefault="00B44856" w:rsidP="005648ED">
      <w:pPr>
        <w:jc w:val="both"/>
        <w:rPr>
          <w:rFonts w:ascii="Garamond" w:hAnsi="Garamond"/>
        </w:rPr>
      </w:pPr>
      <w:r>
        <w:rPr>
          <w:rFonts w:ascii="Garamond" w:hAnsi="Garamond"/>
        </w:rPr>
        <w:t>L</w:t>
      </w:r>
      <w:r w:rsidR="00784845">
        <w:rPr>
          <w:rFonts w:ascii="Garamond" w:hAnsi="Garamond"/>
        </w:rPr>
        <w:t xml:space="preserve">a certification </w:t>
      </w:r>
      <w:proofErr w:type="spellStart"/>
      <w:proofErr w:type="gramStart"/>
      <w:r w:rsidR="00784845">
        <w:rPr>
          <w:rFonts w:ascii="Garamond" w:hAnsi="Garamond"/>
        </w:rPr>
        <w:t>B</w:t>
      </w:r>
      <w:r w:rsidR="00E846DA">
        <w:rPr>
          <w:rFonts w:ascii="Garamond" w:hAnsi="Garamond"/>
        </w:rPr>
        <w:t>.</w:t>
      </w:r>
      <w:r w:rsidR="00784845">
        <w:rPr>
          <w:rFonts w:ascii="Garamond" w:hAnsi="Garamond"/>
        </w:rPr>
        <w:t>Corp</w:t>
      </w:r>
      <w:proofErr w:type="spellEnd"/>
      <w:proofErr w:type="gramEnd"/>
      <w:r w:rsidR="00784845">
        <w:rPr>
          <w:rFonts w:ascii="Garamond" w:hAnsi="Garamond"/>
        </w:rPr>
        <w:t xml:space="preserve"> une fois validée nous imposera la </w:t>
      </w:r>
      <w:r w:rsidR="000E7B77">
        <w:rPr>
          <w:rFonts w:ascii="Garamond" w:hAnsi="Garamond"/>
        </w:rPr>
        <w:t>c</w:t>
      </w:r>
      <w:r w:rsidR="00E846DA">
        <w:rPr>
          <w:rFonts w:ascii="Garamond" w:hAnsi="Garamond"/>
        </w:rPr>
        <w:t>réation</w:t>
      </w:r>
      <w:r w:rsidR="00784845">
        <w:rPr>
          <w:rFonts w:ascii="Garamond" w:hAnsi="Garamond"/>
        </w:rPr>
        <w:t xml:space="preserve"> d’un comité de surveillance sur les problématiques extra-financières avec des objectifs tangibles avec une revue régulière relative à la validation de ces objectifs.</w:t>
      </w:r>
      <w:r w:rsidR="00E846DA">
        <w:rPr>
          <w:rFonts w:ascii="Garamond" w:hAnsi="Garamond"/>
        </w:rPr>
        <w:t xml:space="preserve"> Cette mise en place est prévue courant 2022.</w:t>
      </w:r>
    </w:p>
    <w:p w14:paraId="1EE009A8" w14:textId="77777777" w:rsidR="003A0796" w:rsidRPr="005648ED" w:rsidRDefault="003A0796" w:rsidP="003A0796">
      <w:pPr>
        <w:jc w:val="both"/>
        <w:rPr>
          <w:rFonts w:ascii="Garamond" w:hAnsi="Garamond" w:cs="Arial"/>
        </w:rPr>
      </w:pPr>
    </w:p>
    <w:p w14:paraId="13DF2955" w14:textId="7CF65CE4" w:rsidR="003A0796" w:rsidRPr="005648ED" w:rsidRDefault="003A0796" w:rsidP="003A0796">
      <w:pPr>
        <w:pStyle w:val="Titre1"/>
        <w:jc w:val="both"/>
        <w:rPr>
          <w:rFonts w:ascii="Garamond" w:hAnsi="Garamond" w:cs="Times New Roman"/>
        </w:rPr>
      </w:pPr>
      <w:bookmarkStart w:id="20" w:name="_Toc105689522"/>
      <w:r w:rsidRPr="005648ED">
        <w:rPr>
          <w:rFonts w:ascii="Garamond" w:hAnsi="Garamond" w:cs="Times New Roman"/>
        </w:rPr>
        <w:t>7. Article D. 533-16-1, III, 4° - Informations sur la stratégie d’engagement auprès des émetteurs ou vis-à-vis des sociétés de gestion</w:t>
      </w:r>
      <w:bookmarkEnd w:id="20"/>
    </w:p>
    <w:p w14:paraId="0D030813" w14:textId="77777777" w:rsidR="002E39B6" w:rsidRPr="005648ED" w:rsidRDefault="002E39B6" w:rsidP="003A0796">
      <w:pPr>
        <w:jc w:val="both"/>
        <w:rPr>
          <w:rFonts w:ascii="Garamond" w:hAnsi="Garamond" w:cs="Arial"/>
          <w:b/>
          <w:bCs/>
          <w:color w:val="002060"/>
        </w:rPr>
      </w:pPr>
    </w:p>
    <w:p w14:paraId="7341574D" w14:textId="655D773C" w:rsidR="003A0796" w:rsidRPr="005648ED" w:rsidRDefault="003A0796" w:rsidP="001C0F0F">
      <w:pPr>
        <w:pStyle w:val="T2modleAGAMA"/>
        <w:numPr>
          <w:ilvl w:val="0"/>
          <w:numId w:val="15"/>
        </w:numPr>
      </w:pPr>
      <w:bookmarkStart w:id="21" w:name="_Toc105689523"/>
      <w:r w:rsidRPr="005648ED">
        <w:t>Article D. 533-16-1, III, 4°, a – Périmètre des entreprises concernées par la stratégie d’engagement</w:t>
      </w:r>
      <w:bookmarkEnd w:id="21"/>
      <w:r w:rsidRPr="005648ED">
        <w:t xml:space="preserve"> </w:t>
      </w:r>
    </w:p>
    <w:p w14:paraId="3F20512E" w14:textId="77777777" w:rsidR="002E39B6" w:rsidRPr="005648ED" w:rsidRDefault="002E39B6" w:rsidP="003A0796">
      <w:pPr>
        <w:jc w:val="both"/>
        <w:rPr>
          <w:rFonts w:ascii="Garamond" w:hAnsi="Garamond" w:cs="Arial"/>
        </w:rPr>
      </w:pPr>
    </w:p>
    <w:p w14:paraId="5157C907" w14:textId="671BC578" w:rsidR="005648ED" w:rsidRPr="005648ED" w:rsidRDefault="00E846DA" w:rsidP="005648ED">
      <w:pPr>
        <w:jc w:val="both"/>
        <w:rPr>
          <w:rFonts w:ascii="Garamond" w:hAnsi="Garamond"/>
        </w:rPr>
      </w:pPr>
      <w:r>
        <w:rPr>
          <w:rFonts w:ascii="Garamond" w:hAnsi="Garamond"/>
        </w:rPr>
        <w:t>N/A</w:t>
      </w:r>
    </w:p>
    <w:p w14:paraId="3930817B" w14:textId="77777777" w:rsidR="003A0796" w:rsidRPr="005648ED" w:rsidRDefault="003A0796" w:rsidP="003A0796">
      <w:pPr>
        <w:jc w:val="both"/>
        <w:rPr>
          <w:rFonts w:ascii="Garamond" w:hAnsi="Garamond" w:cs="Arial"/>
        </w:rPr>
      </w:pPr>
    </w:p>
    <w:p w14:paraId="14E423A7" w14:textId="77777777" w:rsidR="003A0796" w:rsidRPr="005648ED" w:rsidRDefault="003A0796" w:rsidP="001C0F0F">
      <w:pPr>
        <w:pStyle w:val="T2modleAGAMA"/>
        <w:numPr>
          <w:ilvl w:val="0"/>
          <w:numId w:val="15"/>
        </w:numPr>
      </w:pPr>
      <w:bookmarkStart w:id="22" w:name="_Toc105689524"/>
      <w:r w:rsidRPr="005648ED">
        <w:t>Article D. 533-16-1, III, 4°, b et d – Présentation et bilan de la politique de vote</w:t>
      </w:r>
      <w:bookmarkEnd w:id="22"/>
    </w:p>
    <w:p w14:paraId="5602B324" w14:textId="77777777" w:rsidR="00CA4602" w:rsidRPr="005648ED" w:rsidRDefault="00CA4602" w:rsidP="003A0796">
      <w:pPr>
        <w:jc w:val="both"/>
        <w:rPr>
          <w:rFonts w:ascii="Garamond" w:hAnsi="Garamond" w:cs="Arial"/>
        </w:rPr>
      </w:pPr>
    </w:p>
    <w:p w14:paraId="2FC7F892" w14:textId="19BC2823" w:rsidR="005648ED" w:rsidRPr="005648ED" w:rsidRDefault="00784845" w:rsidP="005648ED">
      <w:pPr>
        <w:jc w:val="both"/>
        <w:rPr>
          <w:rFonts w:ascii="Garamond" w:hAnsi="Garamond"/>
        </w:rPr>
      </w:pPr>
      <w:r>
        <w:rPr>
          <w:rFonts w:ascii="Garamond" w:hAnsi="Garamond"/>
        </w:rPr>
        <w:t>Nous n’avons pas encore mis en place de politique de vote.</w:t>
      </w:r>
    </w:p>
    <w:p w14:paraId="04C399D2" w14:textId="77777777" w:rsidR="003A0796" w:rsidRPr="005648ED" w:rsidRDefault="003A0796" w:rsidP="003A0796">
      <w:pPr>
        <w:jc w:val="both"/>
        <w:rPr>
          <w:rFonts w:ascii="Garamond" w:hAnsi="Garamond" w:cs="Arial"/>
        </w:rPr>
      </w:pPr>
    </w:p>
    <w:p w14:paraId="5EF0D226" w14:textId="3728FAD5" w:rsidR="003A0796" w:rsidRPr="005648ED" w:rsidRDefault="003A0796" w:rsidP="001C0F0F">
      <w:pPr>
        <w:pStyle w:val="T2modleAGAMA"/>
        <w:numPr>
          <w:ilvl w:val="0"/>
          <w:numId w:val="15"/>
        </w:numPr>
      </w:pPr>
      <w:bookmarkStart w:id="23" w:name="_Toc105689525"/>
      <w:r w:rsidRPr="005648ED">
        <w:t>Article D. 533-16-1, III, 4°, c – Bilan de la stratégie d’engagement</w:t>
      </w:r>
      <w:bookmarkEnd w:id="23"/>
    </w:p>
    <w:p w14:paraId="3A2B7E0B" w14:textId="77777777" w:rsidR="00CA4602" w:rsidRPr="005648ED" w:rsidRDefault="00CA4602" w:rsidP="00DF35FA">
      <w:pPr>
        <w:pStyle w:val="T2modleAGAMA"/>
        <w:numPr>
          <w:ilvl w:val="0"/>
          <w:numId w:val="0"/>
        </w:numPr>
      </w:pPr>
    </w:p>
    <w:p w14:paraId="2597C984" w14:textId="0D71B732" w:rsidR="005648ED" w:rsidRPr="005648ED" w:rsidRDefault="00E846DA" w:rsidP="005648ED">
      <w:pPr>
        <w:jc w:val="both"/>
        <w:rPr>
          <w:rFonts w:ascii="Garamond" w:hAnsi="Garamond"/>
        </w:rPr>
      </w:pPr>
      <w:r>
        <w:rPr>
          <w:rFonts w:ascii="Garamond" w:hAnsi="Garamond"/>
        </w:rPr>
        <w:t>N/A</w:t>
      </w:r>
    </w:p>
    <w:p w14:paraId="35389166" w14:textId="77777777" w:rsidR="003A0796" w:rsidRPr="005648ED" w:rsidRDefault="003A0796" w:rsidP="003A0796">
      <w:pPr>
        <w:jc w:val="both"/>
        <w:rPr>
          <w:rFonts w:ascii="Garamond" w:hAnsi="Garamond" w:cs="Arial"/>
        </w:rPr>
      </w:pPr>
    </w:p>
    <w:p w14:paraId="562ECE78" w14:textId="77777777" w:rsidR="003A0796" w:rsidRPr="005648ED" w:rsidRDefault="003A0796" w:rsidP="001C0F0F">
      <w:pPr>
        <w:pStyle w:val="T2modleAGAMA"/>
        <w:numPr>
          <w:ilvl w:val="0"/>
          <w:numId w:val="15"/>
        </w:numPr>
      </w:pPr>
      <w:bookmarkStart w:id="24" w:name="_Toc105689526"/>
      <w:r w:rsidRPr="005648ED">
        <w:t>Article D. 533-16-1, III, 4°, e – Décisions prises en matière de stratégie d’investissement, notamment en matière d’engagement sectoriel</w:t>
      </w:r>
      <w:bookmarkEnd w:id="24"/>
    </w:p>
    <w:p w14:paraId="31F45DD4" w14:textId="77777777" w:rsidR="00CA4602" w:rsidRPr="005648ED" w:rsidRDefault="00CA4602" w:rsidP="003A0796">
      <w:pPr>
        <w:jc w:val="both"/>
        <w:rPr>
          <w:rFonts w:ascii="Garamond" w:hAnsi="Garamond" w:cs="Arial"/>
        </w:rPr>
      </w:pPr>
    </w:p>
    <w:p w14:paraId="4B1A8393" w14:textId="717F94B3" w:rsidR="005648ED" w:rsidRPr="005648ED" w:rsidRDefault="00E846DA" w:rsidP="005648ED">
      <w:pPr>
        <w:jc w:val="both"/>
        <w:rPr>
          <w:rFonts w:ascii="Garamond" w:hAnsi="Garamond"/>
        </w:rPr>
      </w:pPr>
      <w:r>
        <w:rPr>
          <w:rFonts w:ascii="Garamond" w:hAnsi="Garamond"/>
        </w:rPr>
        <w:t>N/A</w:t>
      </w:r>
    </w:p>
    <w:p w14:paraId="22D056B5" w14:textId="77777777" w:rsidR="003A0796" w:rsidRPr="005648ED" w:rsidRDefault="003A0796" w:rsidP="003A0796">
      <w:pPr>
        <w:rPr>
          <w:rFonts w:ascii="Garamond" w:hAnsi="Garamond" w:cs="Arial"/>
        </w:rPr>
      </w:pPr>
    </w:p>
    <w:p w14:paraId="2D9B3280" w14:textId="2820CB84" w:rsidR="003A0796" w:rsidRPr="005648ED" w:rsidRDefault="003A0796" w:rsidP="003A0796">
      <w:pPr>
        <w:pStyle w:val="Titre1"/>
        <w:jc w:val="both"/>
        <w:rPr>
          <w:rFonts w:ascii="Garamond" w:hAnsi="Garamond" w:cs="Times New Roman"/>
        </w:rPr>
      </w:pPr>
      <w:bookmarkStart w:id="25" w:name="_Toc105689527"/>
      <w:r w:rsidRPr="005648ED">
        <w:rPr>
          <w:rFonts w:ascii="Garamond" w:hAnsi="Garamond" w:cs="Times New Roman"/>
        </w:rPr>
        <w:t>8</w:t>
      </w:r>
      <w:r w:rsidR="00DE062A" w:rsidRPr="005648ED">
        <w:rPr>
          <w:rFonts w:ascii="Garamond" w:hAnsi="Garamond" w:cs="Times New Roman"/>
        </w:rPr>
        <w:t>.</w:t>
      </w:r>
      <w:r w:rsidRPr="005648ED">
        <w:rPr>
          <w:rFonts w:ascii="Garamond" w:hAnsi="Garamond" w:cs="Times New Roman"/>
        </w:rPr>
        <w:t xml:space="preserve"> Article D. 533-16-1, III, 6° - Informations sur la stratégie d’alignement avec les objectifs internationaux de limitation du réchauffement climatique prévus par l’Accord de Paris</w:t>
      </w:r>
      <w:bookmarkEnd w:id="25"/>
      <w:r w:rsidRPr="005648ED">
        <w:rPr>
          <w:rFonts w:ascii="Garamond" w:hAnsi="Garamond" w:cs="Times New Roman"/>
        </w:rPr>
        <w:t xml:space="preserve"> </w:t>
      </w:r>
    </w:p>
    <w:p w14:paraId="2FC0986B" w14:textId="77777777" w:rsidR="00CA4602" w:rsidRPr="005648ED" w:rsidRDefault="00CA4602" w:rsidP="003A0796">
      <w:pPr>
        <w:jc w:val="both"/>
        <w:rPr>
          <w:rFonts w:ascii="Garamond" w:hAnsi="Garamond" w:cs="Arial"/>
          <w:b/>
          <w:bCs/>
          <w:color w:val="002060"/>
        </w:rPr>
      </w:pPr>
    </w:p>
    <w:p w14:paraId="35ED1CB0" w14:textId="4EF1DD38" w:rsidR="003A0796" w:rsidRPr="005648ED" w:rsidRDefault="003A0796" w:rsidP="001C0F0F">
      <w:pPr>
        <w:pStyle w:val="T2modleAGAMA"/>
        <w:numPr>
          <w:ilvl w:val="0"/>
          <w:numId w:val="17"/>
        </w:numPr>
      </w:pPr>
      <w:bookmarkStart w:id="26" w:name="_Toc105689528"/>
      <w:r w:rsidRPr="005648ED">
        <w:t>Article D. 533-16-1, III, 6°, a – Objectif quantitatif à horizon 2030</w:t>
      </w:r>
      <w:bookmarkEnd w:id="26"/>
      <w:r w:rsidRPr="005648ED">
        <w:t xml:space="preserve"> </w:t>
      </w:r>
    </w:p>
    <w:p w14:paraId="08FB3B46" w14:textId="77777777" w:rsidR="00CA4602" w:rsidRPr="005648ED" w:rsidRDefault="00CA4602" w:rsidP="003A0796">
      <w:pPr>
        <w:jc w:val="both"/>
        <w:rPr>
          <w:rFonts w:ascii="Garamond" w:hAnsi="Garamond" w:cs="Arial"/>
        </w:rPr>
      </w:pPr>
    </w:p>
    <w:p w14:paraId="79F39965" w14:textId="19B98A64" w:rsidR="005648ED" w:rsidRPr="005648ED" w:rsidRDefault="00E846DA" w:rsidP="005648ED">
      <w:pPr>
        <w:jc w:val="both"/>
        <w:rPr>
          <w:rFonts w:ascii="Garamond" w:hAnsi="Garamond"/>
        </w:rPr>
      </w:pPr>
      <w:r>
        <w:rPr>
          <w:rFonts w:ascii="Garamond" w:hAnsi="Garamond"/>
        </w:rPr>
        <w:t>Pas d’objectif quantitatif sur l’année 2021. En revanche, en 2022, la société de gestion a mis en place des éléments méthodologiques afin que les portefeuilles puissent être alignés aux accords de Paris dès 2022</w:t>
      </w:r>
      <w:r w:rsidR="00464848">
        <w:rPr>
          <w:rFonts w:ascii="Garamond" w:hAnsi="Garamond"/>
        </w:rPr>
        <w:t xml:space="preserve"> avec une contrainte stricte en termes de température.</w:t>
      </w:r>
    </w:p>
    <w:p w14:paraId="183F4FF2" w14:textId="77777777" w:rsidR="003A0796" w:rsidRPr="005648ED" w:rsidRDefault="003A0796" w:rsidP="003A0796">
      <w:pPr>
        <w:jc w:val="both"/>
        <w:rPr>
          <w:rFonts w:ascii="Garamond" w:hAnsi="Garamond" w:cs="Arial"/>
          <w:b/>
          <w:bCs/>
          <w:color w:val="002060"/>
        </w:rPr>
      </w:pPr>
    </w:p>
    <w:p w14:paraId="4FEAB3AE" w14:textId="77777777" w:rsidR="003A0796" w:rsidRPr="005648ED" w:rsidRDefault="003A0796" w:rsidP="001C0F0F">
      <w:pPr>
        <w:pStyle w:val="T2modleAGAMA"/>
        <w:numPr>
          <w:ilvl w:val="0"/>
          <w:numId w:val="17"/>
        </w:numPr>
      </w:pPr>
      <w:bookmarkStart w:id="27" w:name="_Toc105689529"/>
      <w:r w:rsidRPr="005648ED">
        <w:t>Article D. 533-16-1, III, 6°, b – Eléments sur la méthodologie interne utilisée, le cas échéant, pour évaluer son alignement avec l’Accord de Paris ou la stratégie nationale bas carbone</w:t>
      </w:r>
      <w:bookmarkEnd w:id="27"/>
    </w:p>
    <w:p w14:paraId="40267BDF" w14:textId="77777777" w:rsidR="00AA351D" w:rsidRPr="005648ED" w:rsidRDefault="00AA351D" w:rsidP="003A0796">
      <w:pPr>
        <w:jc w:val="both"/>
        <w:rPr>
          <w:rFonts w:ascii="Garamond" w:hAnsi="Garamond" w:cs="Arial"/>
        </w:rPr>
      </w:pPr>
    </w:p>
    <w:p w14:paraId="5946AE0A" w14:textId="1AD725EB" w:rsidR="005648ED" w:rsidRDefault="00464848" w:rsidP="005648ED">
      <w:pPr>
        <w:jc w:val="both"/>
        <w:rPr>
          <w:rFonts w:ascii="Garamond" w:hAnsi="Garamond"/>
        </w:rPr>
      </w:pPr>
      <w:bookmarkStart w:id="28" w:name="_Toc105689530"/>
      <w:r>
        <w:rPr>
          <w:rFonts w:ascii="Garamond" w:hAnsi="Garamond"/>
        </w:rPr>
        <w:t>N/A</w:t>
      </w:r>
    </w:p>
    <w:p w14:paraId="0332A679" w14:textId="77777777" w:rsidR="005648ED" w:rsidRPr="005648ED" w:rsidRDefault="005648ED" w:rsidP="005648ED">
      <w:pPr>
        <w:jc w:val="both"/>
        <w:rPr>
          <w:rFonts w:ascii="Garamond" w:hAnsi="Garamond"/>
        </w:rPr>
      </w:pPr>
    </w:p>
    <w:p w14:paraId="744388C5" w14:textId="77777777" w:rsidR="003A0796" w:rsidRPr="005648ED" w:rsidRDefault="003A0796" w:rsidP="001C0F0F">
      <w:pPr>
        <w:pStyle w:val="T2modleAGAMA"/>
        <w:numPr>
          <w:ilvl w:val="0"/>
          <w:numId w:val="17"/>
        </w:numPr>
      </w:pPr>
      <w:r w:rsidRPr="005648ED">
        <w:t>Article D. 533-16-1, III, 6°, c – Informations sur la quantification des résultats à l’aide d’au moins un indicateur</w:t>
      </w:r>
      <w:bookmarkEnd w:id="28"/>
    </w:p>
    <w:p w14:paraId="70D3E380" w14:textId="77777777" w:rsidR="00AA351D" w:rsidRPr="005648ED" w:rsidRDefault="00AA351D" w:rsidP="003A0796">
      <w:pPr>
        <w:jc w:val="both"/>
        <w:rPr>
          <w:rFonts w:ascii="Garamond" w:hAnsi="Garamond" w:cs="Arial"/>
        </w:rPr>
      </w:pPr>
    </w:p>
    <w:p w14:paraId="49293018" w14:textId="214D768C" w:rsidR="005648ED" w:rsidRPr="005648ED" w:rsidRDefault="00464848" w:rsidP="005648ED">
      <w:pPr>
        <w:jc w:val="both"/>
        <w:rPr>
          <w:rFonts w:ascii="Garamond" w:hAnsi="Garamond"/>
        </w:rPr>
      </w:pPr>
      <w:r>
        <w:rPr>
          <w:rFonts w:ascii="Garamond" w:hAnsi="Garamond"/>
        </w:rPr>
        <w:t>N/A</w:t>
      </w:r>
    </w:p>
    <w:p w14:paraId="7B7C4F5D" w14:textId="77777777" w:rsidR="003A0796" w:rsidRPr="005648ED" w:rsidRDefault="003A0796" w:rsidP="003A0796">
      <w:pPr>
        <w:jc w:val="both"/>
        <w:rPr>
          <w:rFonts w:ascii="Garamond" w:hAnsi="Garamond" w:cs="Arial"/>
          <w:b/>
          <w:bCs/>
          <w:color w:val="002060"/>
        </w:rPr>
      </w:pPr>
    </w:p>
    <w:p w14:paraId="6AFD9D71" w14:textId="529BBDBE" w:rsidR="003A0796" w:rsidRPr="005648ED" w:rsidRDefault="003A0796" w:rsidP="001C0F0F">
      <w:pPr>
        <w:pStyle w:val="T2modleAGAMA"/>
        <w:numPr>
          <w:ilvl w:val="0"/>
          <w:numId w:val="17"/>
        </w:numPr>
      </w:pPr>
      <w:bookmarkStart w:id="29" w:name="_Toc105689531"/>
      <w:r w:rsidRPr="005648ED">
        <w:t xml:space="preserve">Article D. 533-16-1, III, 6°, e – Informations sur comment la dimension environnementale, notamment l’empreinte carbone, est intégrée dans la stratégie d’investissement de </w:t>
      </w:r>
      <w:r w:rsidR="00AA351D" w:rsidRPr="005648ED">
        <w:t>la société de gestion</w:t>
      </w:r>
      <w:bookmarkEnd w:id="29"/>
    </w:p>
    <w:p w14:paraId="3BCB089A" w14:textId="77777777" w:rsidR="00AA351D" w:rsidRPr="005648ED" w:rsidRDefault="00AA351D" w:rsidP="00DF35FA">
      <w:pPr>
        <w:pStyle w:val="T2modleAGAMA"/>
        <w:numPr>
          <w:ilvl w:val="0"/>
          <w:numId w:val="0"/>
        </w:numPr>
      </w:pPr>
    </w:p>
    <w:p w14:paraId="4C26F524" w14:textId="7C49F8B0" w:rsidR="005648ED" w:rsidRPr="005648ED" w:rsidRDefault="00464848" w:rsidP="005648ED">
      <w:pPr>
        <w:jc w:val="both"/>
        <w:rPr>
          <w:rFonts w:ascii="Garamond" w:hAnsi="Garamond"/>
        </w:rPr>
      </w:pPr>
      <w:r>
        <w:rPr>
          <w:rFonts w:ascii="Garamond" w:hAnsi="Garamond"/>
        </w:rPr>
        <w:t>N/A</w:t>
      </w:r>
    </w:p>
    <w:p w14:paraId="43B9928E" w14:textId="77777777" w:rsidR="003A0796" w:rsidRPr="005648ED" w:rsidRDefault="003A0796" w:rsidP="003A0796">
      <w:pPr>
        <w:jc w:val="both"/>
        <w:rPr>
          <w:rFonts w:ascii="Garamond" w:hAnsi="Garamond" w:cs="Arial"/>
          <w:b/>
          <w:bCs/>
          <w:color w:val="002060"/>
        </w:rPr>
      </w:pPr>
    </w:p>
    <w:p w14:paraId="41382D4C" w14:textId="77777777" w:rsidR="003A0796" w:rsidRPr="005648ED" w:rsidRDefault="003A0796" w:rsidP="001C0F0F">
      <w:pPr>
        <w:pStyle w:val="T2modleAGAMA"/>
        <w:numPr>
          <w:ilvl w:val="0"/>
          <w:numId w:val="17"/>
        </w:numPr>
      </w:pPr>
      <w:bookmarkStart w:id="30" w:name="_Toc105689532"/>
      <w:r w:rsidRPr="005648ED">
        <w:t>Article D. 533-16-1, III, 6°, f – Informations sur les changements intervenus dans la stratégie d’investissement en lien avec la stratégie d’alignement avec les accords de Paris</w:t>
      </w:r>
      <w:bookmarkEnd w:id="30"/>
    </w:p>
    <w:p w14:paraId="1C3D919F" w14:textId="77777777" w:rsidR="00AA351D" w:rsidRPr="005648ED" w:rsidRDefault="00AA351D" w:rsidP="003A0796">
      <w:pPr>
        <w:jc w:val="both"/>
        <w:rPr>
          <w:rFonts w:ascii="Garamond" w:hAnsi="Garamond" w:cs="Arial"/>
        </w:rPr>
      </w:pPr>
    </w:p>
    <w:p w14:paraId="0D97508E" w14:textId="39993E05" w:rsidR="005648ED" w:rsidRPr="005648ED" w:rsidRDefault="00464848" w:rsidP="005648ED">
      <w:pPr>
        <w:jc w:val="both"/>
        <w:rPr>
          <w:rFonts w:ascii="Garamond" w:hAnsi="Garamond"/>
        </w:rPr>
      </w:pPr>
      <w:r>
        <w:rPr>
          <w:rFonts w:ascii="Garamond" w:hAnsi="Garamond"/>
        </w:rPr>
        <w:t>Comme mentionné en 8.A, nous avons effectué de nombreux changements dans notre stratégie afin d’être aligné aux accords de Paris en 2022. Pour cela, nous avons investi dans des bases de données (émissions carbone et ODD) et consacré le temps nécessaire afin de parvenir à un processus pertinent.</w:t>
      </w:r>
    </w:p>
    <w:p w14:paraId="36EAAA3E" w14:textId="77777777" w:rsidR="00AA351D" w:rsidRPr="005648ED" w:rsidRDefault="00AA351D" w:rsidP="003A0796">
      <w:pPr>
        <w:jc w:val="both"/>
        <w:rPr>
          <w:rFonts w:ascii="Garamond" w:hAnsi="Garamond" w:cs="Arial"/>
        </w:rPr>
      </w:pPr>
    </w:p>
    <w:p w14:paraId="4F3175B9" w14:textId="77777777" w:rsidR="003A0796" w:rsidRPr="005648ED" w:rsidRDefault="003A0796" w:rsidP="001C0F0F">
      <w:pPr>
        <w:pStyle w:val="T2modleAGAMA"/>
        <w:numPr>
          <w:ilvl w:val="0"/>
          <w:numId w:val="17"/>
        </w:numPr>
      </w:pPr>
      <w:bookmarkStart w:id="31" w:name="_Toc105689533"/>
      <w:r w:rsidRPr="005648ED">
        <w:t>Article D. 533-16-1, III, 6°, g – Informations sur les éventuelles actions de suivi des résultats et des changements intervenus</w:t>
      </w:r>
      <w:bookmarkEnd w:id="31"/>
    </w:p>
    <w:p w14:paraId="6C203EDF" w14:textId="77777777" w:rsidR="00AA351D" w:rsidRPr="005648ED" w:rsidRDefault="00AA351D" w:rsidP="003A0796">
      <w:pPr>
        <w:jc w:val="both"/>
        <w:rPr>
          <w:rFonts w:ascii="Garamond" w:hAnsi="Garamond" w:cs="Arial"/>
        </w:rPr>
      </w:pPr>
    </w:p>
    <w:p w14:paraId="00FA0F56" w14:textId="7F73CA81" w:rsidR="005648ED" w:rsidRPr="005648ED" w:rsidRDefault="00464848" w:rsidP="005648ED">
      <w:pPr>
        <w:jc w:val="both"/>
        <w:rPr>
          <w:rFonts w:ascii="Garamond" w:hAnsi="Garamond"/>
        </w:rPr>
      </w:pPr>
      <w:r>
        <w:rPr>
          <w:rFonts w:ascii="Garamond" w:hAnsi="Garamond"/>
        </w:rPr>
        <w:t>N/A</w:t>
      </w:r>
    </w:p>
    <w:p w14:paraId="4152BD93" w14:textId="77777777" w:rsidR="003A0796" w:rsidRPr="005648ED" w:rsidRDefault="003A0796" w:rsidP="003A0796">
      <w:pPr>
        <w:jc w:val="both"/>
        <w:rPr>
          <w:rFonts w:ascii="Garamond" w:hAnsi="Garamond" w:cs="Arial"/>
          <w:b/>
          <w:bCs/>
          <w:color w:val="002060"/>
        </w:rPr>
      </w:pPr>
    </w:p>
    <w:p w14:paraId="1E3F99D4" w14:textId="77777777" w:rsidR="003A0796" w:rsidRPr="005648ED" w:rsidRDefault="003A0796" w:rsidP="001C0F0F">
      <w:pPr>
        <w:pStyle w:val="T2modleAGAMA"/>
        <w:numPr>
          <w:ilvl w:val="0"/>
          <w:numId w:val="17"/>
        </w:numPr>
      </w:pPr>
      <w:bookmarkStart w:id="32" w:name="_Toc105689534"/>
      <w:r w:rsidRPr="005648ED">
        <w:t>Article D. 533-16-1, III, 6°, h – Informations sur la fréquence de l’évaluation, les dates prévisionnelles de mise à jour et les facteurs d’évolution pertinents</w:t>
      </w:r>
      <w:bookmarkEnd w:id="32"/>
    </w:p>
    <w:p w14:paraId="28D77835" w14:textId="77777777" w:rsidR="00AA351D" w:rsidRPr="005648ED" w:rsidRDefault="00AA351D" w:rsidP="003A0796">
      <w:pPr>
        <w:jc w:val="both"/>
        <w:rPr>
          <w:rFonts w:ascii="Garamond" w:hAnsi="Garamond" w:cs="Arial"/>
        </w:rPr>
      </w:pPr>
    </w:p>
    <w:p w14:paraId="2DB3F8FC" w14:textId="0D746BC7" w:rsidR="005648ED" w:rsidRPr="005648ED" w:rsidRDefault="00464848" w:rsidP="005648ED">
      <w:pPr>
        <w:jc w:val="both"/>
        <w:rPr>
          <w:rFonts w:ascii="Garamond" w:hAnsi="Garamond"/>
        </w:rPr>
      </w:pPr>
      <w:r>
        <w:rPr>
          <w:rFonts w:ascii="Garamond" w:hAnsi="Garamond"/>
        </w:rPr>
        <w:t>N/A</w:t>
      </w:r>
    </w:p>
    <w:p w14:paraId="2D59005E" w14:textId="77777777" w:rsidR="00AA351D" w:rsidRPr="005648ED" w:rsidRDefault="00AA351D" w:rsidP="00AA351D">
      <w:pPr>
        <w:rPr>
          <w:rFonts w:ascii="Garamond" w:hAnsi="Garamond" w:cs="Arial"/>
        </w:rPr>
      </w:pPr>
    </w:p>
    <w:p w14:paraId="188688FD" w14:textId="4F62DAF9" w:rsidR="003A0796" w:rsidRPr="005648ED" w:rsidRDefault="00AA351D" w:rsidP="0075774B">
      <w:pPr>
        <w:pStyle w:val="Titre1"/>
        <w:jc w:val="both"/>
        <w:rPr>
          <w:rFonts w:ascii="Garamond" w:hAnsi="Garamond" w:cs="Times New Roman"/>
        </w:rPr>
      </w:pPr>
      <w:bookmarkStart w:id="33" w:name="_Toc105689535"/>
      <w:r w:rsidRPr="005648ED">
        <w:rPr>
          <w:rFonts w:ascii="Garamond" w:hAnsi="Garamond" w:cs="Times New Roman"/>
        </w:rPr>
        <w:t xml:space="preserve">9. </w:t>
      </w:r>
      <w:r w:rsidR="003A0796" w:rsidRPr="005648ED">
        <w:rPr>
          <w:rFonts w:ascii="Garamond" w:hAnsi="Garamond" w:cs="Times New Roman"/>
        </w:rPr>
        <w:t xml:space="preserve">Article D. 533-16-1, III, 7° - Informations sur la stratégie d’alignement de </w:t>
      </w:r>
      <w:r w:rsidR="00132FFE">
        <w:rPr>
          <w:rFonts w:ascii="Garamond" w:hAnsi="Garamond" w:cs="Times New Roman"/>
        </w:rPr>
        <w:t>la Société de gestion</w:t>
      </w:r>
      <w:r w:rsidR="003A0796" w:rsidRPr="005648ED">
        <w:rPr>
          <w:rFonts w:ascii="Garamond" w:hAnsi="Garamond" w:cs="Times New Roman"/>
        </w:rPr>
        <w:t xml:space="preserve"> avec les objectifs à long terme liés à la biodiversité</w:t>
      </w:r>
      <w:bookmarkEnd w:id="33"/>
      <w:r w:rsidR="003A0796" w:rsidRPr="005648ED">
        <w:rPr>
          <w:rFonts w:ascii="Garamond" w:hAnsi="Garamond" w:cs="Times New Roman"/>
        </w:rPr>
        <w:t xml:space="preserve">  </w:t>
      </w:r>
    </w:p>
    <w:p w14:paraId="66C7B811" w14:textId="77777777" w:rsidR="00AA351D" w:rsidRPr="005648ED" w:rsidRDefault="00AA351D" w:rsidP="003A0796">
      <w:pPr>
        <w:jc w:val="both"/>
        <w:rPr>
          <w:rFonts w:ascii="Garamond" w:hAnsi="Garamond" w:cs="Arial"/>
          <w:b/>
          <w:bCs/>
          <w:i/>
          <w:iCs/>
          <w:color w:val="002060"/>
        </w:rPr>
      </w:pPr>
    </w:p>
    <w:p w14:paraId="686130A7" w14:textId="7CE5200E" w:rsidR="0075774B" w:rsidRPr="005648ED" w:rsidRDefault="003A0796" w:rsidP="001C0F0F">
      <w:pPr>
        <w:pStyle w:val="T2modleAGAMA"/>
        <w:numPr>
          <w:ilvl w:val="0"/>
          <w:numId w:val="22"/>
        </w:numPr>
      </w:pPr>
      <w:bookmarkStart w:id="34" w:name="_Toc105689536"/>
      <w:r w:rsidRPr="005648ED">
        <w:t>Article D. 533-16-1, III, 7°, a – Mesure du respect des objectifs figurant dans la Convention sur la diversité biologique adoptée le 5 juin 1992</w:t>
      </w:r>
      <w:bookmarkEnd w:id="34"/>
    </w:p>
    <w:p w14:paraId="44F5A775" w14:textId="77777777" w:rsidR="0075774B" w:rsidRPr="005648ED" w:rsidRDefault="0075774B" w:rsidP="003A0796">
      <w:pPr>
        <w:jc w:val="both"/>
        <w:rPr>
          <w:rFonts w:ascii="Garamond" w:hAnsi="Garamond" w:cs="Arial"/>
        </w:rPr>
      </w:pPr>
    </w:p>
    <w:p w14:paraId="6C63A8DF" w14:textId="533698F4" w:rsidR="005648ED" w:rsidRPr="005648ED" w:rsidRDefault="00464848" w:rsidP="005648ED">
      <w:pPr>
        <w:jc w:val="both"/>
        <w:rPr>
          <w:rFonts w:ascii="Garamond" w:hAnsi="Garamond"/>
        </w:rPr>
      </w:pPr>
      <w:r>
        <w:rPr>
          <w:rFonts w:ascii="Garamond" w:hAnsi="Garamond"/>
        </w:rPr>
        <w:t>N/A</w:t>
      </w:r>
    </w:p>
    <w:p w14:paraId="6F65EF22" w14:textId="77777777" w:rsidR="003A0796" w:rsidRPr="005648ED" w:rsidRDefault="003A0796" w:rsidP="003A0796">
      <w:pPr>
        <w:jc w:val="both"/>
        <w:rPr>
          <w:rFonts w:ascii="Garamond" w:hAnsi="Garamond" w:cs="Arial"/>
          <w:b/>
          <w:bCs/>
          <w:i/>
          <w:iCs/>
          <w:color w:val="002060"/>
        </w:rPr>
      </w:pPr>
    </w:p>
    <w:p w14:paraId="3493E842" w14:textId="77777777" w:rsidR="003A0796" w:rsidRPr="005648ED" w:rsidRDefault="003A0796" w:rsidP="00DF35FA">
      <w:pPr>
        <w:pStyle w:val="T2modleAGAMA"/>
      </w:pPr>
      <w:bookmarkStart w:id="35" w:name="_Toc105689537"/>
      <w:r w:rsidRPr="005648ED">
        <w:t>Article D. 533-16-1, III, 7°, b et c – Analyse de la contribution à la réduction des principales pressions et impacts sur la biodiversité – Mention de l’appui sur un indicateur d’empreinte biodiversité</w:t>
      </w:r>
      <w:bookmarkEnd w:id="35"/>
    </w:p>
    <w:p w14:paraId="13B1E8D3" w14:textId="77777777" w:rsidR="0075774B" w:rsidRPr="005648ED" w:rsidRDefault="0075774B" w:rsidP="003A0796">
      <w:pPr>
        <w:jc w:val="both"/>
        <w:rPr>
          <w:rFonts w:ascii="Garamond" w:hAnsi="Garamond" w:cs="Arial"/>
        </w:rPr>
      </w:pPr>
    </w:p>
    <w:p w14:paraId="2A04923B" w14:textId="42FFB4FB" w:rsidR="005648ED" w:rsidRPr="005648ED" w:rsidRDefault="00464848" w:rsidP="005648ED">
      <w:pPr>
        <w:jc w:val="both"/>
        <w:rPr>
          <w:rFonts w:ascii="Garamond" w:hAnsi="Garamond"/>
        </w:rPr>
      </w:pPr>
      <w:r>
        <w:rPr>
          <w:rFonts w:ascii="Garamond" w:hAnsi="Garamond"/>
        </w:rPr>
        <w:t>N/A</w:t>
      </w:r>
    </w:p>
    <w:p w14:paraId="184A6658" w14:textId="77777777" w:rsidR="003A0796" w:rsidRPr="005648ED" w:rsidRDefault="003A0796" w:rsidP="003A0796">
      <w:pPr>
        <w:rPr>
          <w:rFonts w:ascii="Garamond" w:hAnsi="Garamond" w:cs="Arial"/>
        </w:rPr>
      </w:pPr>
    </w:p>
    <w:p w14:paraId="79450B97" w14:textId="204BA6F2" w:rsidR="003A0796" w:rsidRPr="005648ED" w:rsidRDefault="00DF35FA" w:rsidP="00DE062A">
      <w:pPr>
        <w:pStyle w:val="Titre1"/>
        <w:jc w:val="both"/>
        <w:rPr>
          <w:rFonts w:ascii="Garamond" w:hAnsi="Garamond" w:cs="Times New Roman"/>
        </w:rPr>
      </w:pPr>
      <w:bookmarkStart w:id="36" w:name="_Toc105689538"/>
      <w:r w:rsidRPr="005648ED">
        <w:rPr>
          <w:rFonts w:ascii="Garamond" w:hAnsi="Garamond" w:cs="Times New Roman"/>
        </w:rPr>
        <w:t>10</w:t>
      </w:r>
      <w:r w:rsidR="00DE062A" w:rsidRPr="005648ED">
        <w:rPr>
          <w:rFonts w:ascii="Garamond" w:hAnsi="Garamond" w:cs="Times New Roman"/>
        </w:rPr>
        <w:t xml:space="preserve">. </w:t>
      </w:r>
      <w:r w:rsidR="003A0796" w:rsidRPr="005648ED">
        <w:rPr>
          <w:rFonts w:ascii="Garamond" w:hAnsi="Garamond" w:cs="Times New Roman"/>
        </w:rPr>
        <w:t>Article D. 533-16-1, III, 8° - Informations sur les démarches de prise en compte des critères ESG dans la gestion des risques</w:t>
      </w:r>
      <w:bookmarkEnd w:id="36"/>
    </w:p>
    <w:p w14:paraId="00826C05" w14:textId="77777777" w:rsidR="0075774B" w:rsidRPr="005648ED" w:rsidRDefault="0075774B" w:rsidP="003A0796">
      <w:pPr>
        <w:jc w:val="both"/>
        <w:rPr>
          <w:rFonts w:ascii="Garamond" w:hAnsi="Garamond" w:cs="Arial"/>
          <w:b/>
          <w:bCs/>
          <w:i/>
          <w:iCs/>
          <w:color w:val="002060"/>
        </w:rPr>
      </w:pPr>
    </w:p>
    <w:p w14:paraId="68DAA6F3" w14:textId="2E548B7D" w:rsidR="003A0796" w:rsidRPr="005648ED" w:rsidRDefault="003A0796" w:rsidP="001C0F0F">
      <w:pPr>
        <w:pStyle w:val="T2modleAGAMA"/>
        <w:numPr>
          <w:ilvl w:val="0"/>
          <w:numId w:val="21"/>
        </w:numPr>
      </w:pPr>
      <w:bookmarkStart w:id="37" w:name="_Toc105689539"/>
      <w:r w:rsidRPr="005648ED">
        <w:t xml:space="preserve">Article D. 533-16-1, III, 8°, a – Description du processus d’identification, d’évaluation, de priorisation et de gestion des risques liés à la prise en compte des critères ESG, la manière dont ils sont intégrés au cadre conventionnel de la gestion des risques de </w:t>
      </w:r>
      <w:r w:rsidR="00132FFE">
        <w:t>la Société de gestion</w:t>
      </w:r>
      <w:r w:rsidRPr="005648ED">
        <w:t xml:space="preserve"> et la manière dont ce processus répond aux recommandations des autorités européennes de surveillance</w:t>
      </w:r>
      <w:bookmarkEnd w:id="37"/>
      <w:r w:rsidRPr="005648ED">
        <w:t xml:space="preserve"> </w:t>
      </w:r>
    </w:p>
    <w:p w14:paraId="4F52AF60" w14:textId="7BD73905" w:rsidR="005648ED" w:rsidRDefault="005648ED" w:rsidP="005648ED">
      <w:pPr>
        <w:jc w:val="both"/>
        <w:rPr>
          <w:rFonts w:ascii="Garamond" w:hAnsi="Garamond"/>
        </w:rPr>
      </w:pPr>
    </w:p>
    <w:p w14:paraId="17D3DD52" w14:textId="076D9AC7" w:rsidR="00843A7B" w:rsidRPr="00134479" w:rsidRDefault="00843A7B" w:rsidP="00843A7B">
      <w:pPr>
        <w:shd w:val="clear" w:color="auto" w:fill="FFFFFF"/>
        <w:rPr>
          <w:rFonts w:asciiTheme="minorHAnsi" w:eastAsiaTheme="minorHAnsi" w:hAnsiTheme="minorHAnsi" w:cstheme="minorBidi"/>
          <w:sz w:val="22"/>
          <w:szCs w:val="22"/>
          <w:lang w:eastAsia="en-US"/>
        </w:rPr>
      </w:pPr>
      <w:r w:rsidRPr="00134479">
        <w:rPr>
          <w:rFonts w:asciiTheme="minorHAnsi" w:eastAsiaTheme="minorHAnsi" w:hAnsiTheme="minorHAnsi" w:cstheme="minorBidi"/>
          <w:sz w:val="22"/>
          <w:szCs w:val="22"/>
          <w:lang w:eastAsia="en-US"/>
        </w:rPr>
        <w:t xml:space="preserve">Les investissements sont exposés à des risques de durabilité qui représentent un risque important potentiel ou réel pour maximiser les rendements ajustés au risque à long terme. La société de gestion a par conséquent intégré l'identification et l'évaluation des risques de durabilité dans ses décisions d'investissement et ses processus de gestion des risques à travers </w:t>
      </w:r>
      <w:r>
        <w:t>deux</w:t>
      </w:r>
      <w:r w:rsidRPr="00134479">
        <w:rPr>
          <w:rFonts w:asciiTheme="minorHAnsi" w:eastAsiaTheme="minorHAnsi" w:hAnsiTheme="minorHAnsi" w:cstheme="minorBidi"/>
          <w:sz w:val="22"/>
          <w:szCs w:val="22"/>
          <w:lang w:eastAsia="en-US"/>
        </w:rPr>
        <w:t xml:space="preserve"> étapes</w:t>
      </w:r>
      <w:r>
        <w:t xml:space="preserve"> principales</w:t>
      </w:r>
      <w:r w:rsidRPr="00134479">
        <w:rPr>
          <w:rFonts w:asciiTheme="minorHAnsi" w:eastAsiaTheme="minorHAnsi" w:hAnsiTheme="minorHAnsi" w:cstheme="minorBidi"/>
          <w:sz w:val="22"/>
          <w:szCs w:val="22"/>
          <w:lang w:eastAsia="en-US"/>
        </w:rPr>
        <w:t xml:space="preserve"> :</w:t>
      </w:r>
    </w:p>
    <w:p w14:paraId="35DE5A92" w14:textId="060FB94C" w:rsidR="00843A7B" w:rsidRPr="00134479" w:rsidRDefault="00843A7B" w:rsidP="00843A7B">
      <w:pPr>
        <w:shd w:val="clear" w:color="auto" w:fill="FFFFFF"/>
        <w:rPr>
          <w:rFonts w:asciiTheme="minorHAnsi" w:eastAsiaTheme="minorHAnsi" w:hAnsiTheme="minorHAnsi" w:cstheme="minorBidi"/>
          <w:sz w:val="22"/>
          <w:szCs w:val="22"/>
          <w:lang w:eastAsia="en-US"/>
        </w:rPr>
      </w:pPr>
      <w:r w:rsidRPr="00134479">
        <w:rPr>
          <w:rFonts w:asciiTheme="minorHAnsi" w:eastAsiaTheme="minorHAnsi" w:hAnsiTheme="minorHAnsi" w:cstheme="minorBidi"/>
          <w:sz w:val="22"/>
          <w:szCs w:val="22"/>
          <w:lang w:eastAsia="en-US"/>
        </w:rPr>
        <w:t>1/ Exclusion : Les investissements dans des sociétés que la société de gestion considère ne pas répondre aux normes de durabilité du fonds sont exclus. La société de gestion a mis en place une politique d'exclusion qui prévoit, entre autres, des exclusions d'entreprises et des seuils de tolérance pour des activités dans des domaines tels que les armes controversées</w:t>
      </w:r>
      <w:r>
        <w:rPr>
          <w:rFonts w:asciiTheme="minorHAnsi" w:eastAsiaTheme="minorHAnsi" w:hAnsiTheme="minorHAnsi" w:cstheme="minorBidi"/>
          <w:sz w:val="22"/>
          <w:szCs w:val="22"/>
          <w:lang w:eastAsia="en-US"/>
        </w:rPr>
        <w:t xml:space="preserve"> ou les</w:t>
      </w:r>
      <w:r w:rsidRPr="00134479">
        <w:rPr>
          <w:rFonts w:asciiTheme="minorHAnsi" w:eastAsiaTheme="minorHAnsi" w:hAnsiTheme="minorHAnsi" w:cstheme="minorBidi"/>
          <w:sz w:val="22"/>
          <w:szCs w:val="22"/>
          <w:lang w:eastAsia="en-US"/>
        </w:rPr>
        <w:t xml:space="preserve"> producteurs de charbon thermique.</w:t>
      </w:r>
    </w:p>
    <w:p w14:paraId="2E456D54" w14:textId="77777777" w:rsidR="00843A7B" w:rsidRDefault="00843A7B" w:rsidP="00843A7B">
      <w:r w:rsidRPr="00134479">
        <w:rPr>
          <w:rFonts w:asciiTheme="minorHAnsi" w:eastAsiaTheme="minorHAnsi" w:hAnsiTheme="minorHAnsi" w:cstheme="minorBidi"/>
          <w:sz w:val="22"/>
          <w:szCs w:val="22"/>
          <w:lang w:eastAsia="en-US"/>
        </w:rPr>
        <w:t xml:space="preserve">2/ Analyse : la société de gestion intègre l'analyse ESG de façon à éliminer les entreprises dont le comportement sur les critères Environnement, Social et Gouvernance </w:t>
      </w:r>
      <w:r>
        <w:t>est</w:t>
      </w:r>
      <w:r w:rsidRPr="00134479">
        <w:rPr>
          <w:rFonts w:asciiTheme="minorHAnsi" w:eastAsiaTheme="minorHAnsi" w:hAnsiTheme="minorHAnsi" w:cstheme="minorBidi"/>
          <w:sz w:val="22"/>
          <w:szCs w:val="22"/>
          <w:lang w:eastAsia="en-US"/>
        </w:rPr>
        <w:t xml:space="preserve"> de nature à représenter un risque de controverse avec une implication financière à moyen-long terme.</w:t>
      </w:r>
    </w:p>
    <w:p w14:paraId="06F2487F" w14:textId="77777777" w:rsidR="00843A7B" w:rsidRPr="005648ED" w:rsidRDefault="00843A7B" w:rsidP="005648ED">
      <w:pPr>
        <w:jc w:val="both"/>
        <w:rPr>
          <w:rFonts w:ascii="Garamond" w:hAnsi="Garamond"/>
        </w:rPr>
      </w:pPr>
    </w:p>
    <w:p w14:paraId="2ADF2AD4" w14:textId="70A75867" w:rsidR="003A0796" w:rsidRPr="005648ED" w:rsidRDefault="003A0796" w:rsidP="003A0796">
      <w:pPr>
        <w:rPr>
          <w:rFonts w:ascii="Garamond" w:hAnsi="Garamond" w:cs="Arial"/>
        </w:rPr>
      </w:pPr>
    </w:p>
    <w:p w14:paraId="4E7AD4B7" w14:textId="4F57C0F0" w:rsidR="003A0796" w:rsidRPr="005648ED" w:rsidRDefault="00DE062A" w:rsidP="00DE062A">
      <w:pPr>
        <w:pStyle w:val="Titre1"/>
        <w:jc w:val="both"/>
        <w:rPr>
          <w:rFonts w:ascii="Garamond" w:hAnsi="Garamond" w:cs="Times New Roman"/>
        </w:rPr>
      </w:pPr>
      <w:bookmarkStart w:id="38" w:name="_Toc105689540"/>
      <w:r w:rsidRPr="005648ED">
        <w:rPr>
          <w:rFonts w:ascii="Garamond" w:hAnsi="Garamond" w:cs="Times New Roman"/>
        </w:rPr>
        <w:t>1</w:t>
      </w:r>
      <w:r w:rsidR="00DF35FA" w:rsidRPr="005648ED">
        <w:rPr>
          <w:rFonts w:ascii="Garamond" w:hAnsi="Garamond" w:cs="Times New Roman"/>
        </w:rPr>
        <w:t>1</w:t>
      </w:r>
      <w:r w:rsidRPr="005648ED">
        <w:rPr>
          <w:rFonts w:ascii="Garamond" w:hAnsi="Garamond" w:cs="Times New Roman"/>
        </w:rPr>
        <w:t xml:space="preserve">. </w:t>
      </w:r>
      <w:r w:rsidR="003A0796" w:rsidRPr="005648ED">
        <w:rPr>
          <w:rFonts w:ascii="Garamond" w:hAnsi="Garamond" w:cs="Times New Roman"/>
        </w:rPr>
        <w:t>Article L. 533-22-2-4 du code monétaire et financier – Parité</w:t>
      </w:r>
      <w:bookmarkEnd w:id="38"/>
      <w:r w:rsidR="003A0796" w:rsidRPr="005648ED">
        <w:rPr>
          <w:rFonts w:ascii="Garamond" w:hAnsi="Garamond" w:cs="Times New Roman"/>
        </w:rPr>
        <w:t xml:space="preserve"> </w:t>
      </w:r>
    </w:p>
    <w:p w14:paraId="7EBB4086" w14:textId="77777777" w:rsidR="0075774B" w:rsidRPr="005648ED" w:rsidRDefault="0075774B" w:rsidP="003A0796">
      <w:pPr>
        <w:jc w:val="both"/>
        <w:rPr>
          <w:rFonts w:ascii="Garamond" w:hAnsi="Garamond" w:cs="Arial"/>
        </w:rPr>
      </w:pPr>
    </w:p>
    <w:p w14:paraId="566DC9A2" w14:textId="7EEA09E3" w:rsidR="00CB5A98" w:rsidRPr="005648ED" w:rsidRDefault="00464848" w:rsidP="00DE059F">
      <w:pPr>
        <w:jc w:val="both"/>
        <w:rPr>
          <w:rFonts w:ascii="Garamond" w:hAnsi="Garamond"/>
        </w:rPr>
      </w:pPr>
      <w:r>
        <w:rPr>
          <w:rFonts w:ascii="Garamond" w:hAnsi="Garamond"/>
        </w:rPr>
        <w:t>N/A</w:t>
      </w:r>
    </w:p>
    <w:sectPr w:rsidR="00CB5A98" w:rsidRPr="005648ED" w:rsidSect="00AB0105">
      <w:headerReference w:type="default" r:id="rId8"/>
      <w:footerReference w:type="default" r:id="rId9"/>
      <w:pgSz w:w="11906" w:h="16838"/>
      <w:pgMar w:top="1418" w:right="1418" w:bottom="1418" w:left="1140"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7476" w14:textId="77777777" w:rsidR="00F010C3" w:rsidRDefault="00F010C3">
      <w:r>
        <w:separator/>
      </w:r>
    </w:p>
  </w:endnote>
  <w:endnote w:type="continuationSeparator" w:id="0">
    <w:p w14:paraId="5133DC8F" w14:textId="77777777" w:rsidR="00F010C3" w:rsidRDefault="00F0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D63" w14:textId="2C63B1F8" w:rsidR="002415D0" w:rsidRPr="002415D0" w:rsidRDefault="005B1764" w:rsidP="005B1764">
    <w:pPr>
      <w:pStyle w:val="Pieddepage"/>
      <w:rPr>
        <w:rFonts w:ascii="Garamond" w:hAnsi="Garamond"/>
        <w:iCs/>
      </w:rPr>
    </w:pPr>
    <w:r>
      <w:rPr>
        <w:rFonts w:ascii="Garamond" w:hAnsi="Garamond"/>
        <w:iCs/>
      </w:rPr>
      <w:t>R</w:t>
    </w:r>
    <w:r w:rsidR="002415D0" w:rsidRPr="002415D0">
      <w:rPr>
        <w:rFonts w:ascii="Garamond" w:hAnsi="Garamond"/>
        <w:iCs/>
      </w:rPr>
      <w:t>apport Article 29 de la Loi Energie Climat</w:t>
    </w:r>
    <w:r>
      <w:rPr>
        <w:rFonts w:ascii="Garamond" w:hAnsi="Garamond"/>
        <w:iCs/>
      </w:rPr>
      <w:tab/>
    </w:r>
    <w:r>
      <w:rPr>
        <w:rFonts w:ascii="Garamond" w:hAnsi="Garamond"/>
        <w:iCs/>
      </w:rPr>
      <w:tab/>
    </w:r>
    <w:r w:rsidR="002415D0" w:rsidRPr="002415D0">
      <w:rPr>
        <w:rFonts w:ascii="Garamond" w:hAnsi="Garamond"/>
        <w:iCs/>
      </w:rPr>
      <w:tab/>
    </w:r>
    <w:sdt>
      <w:sdtPr>
        <w:rPr>
          <w:rFonts w:ascii="Garamond" w:hAnsi="Garamond"/>
          <w:iCs/>
        </w:rPr>
        <w:id w:val="171854375"/>
        <w:docPartObj>
          <w:docPartGallery w:val="Page Numbers (Bottom of Page)"/>
          <w:docPartUnique/>
        </w:docPartObj>
      </w:sdtPr>
      <w:sdtEndPr/>
      <w:sdtContent>
        <w:r w:rsidR="002415D0" w:rsidRPr="002415D0">
          <w:rPr>
            <w:rFonts w:ascii="Garamond" w:hAnsi="Garamond"/>
            <w:iCs/>
          </w:rPr>
          <w:fldChar w:fldCharType="begin"/>
        </w:r>
        <w:r w:rsidR="002415D0" w:rsidRPr="002415D0">
          <w:rPr>
            <w:rFonts w:ascii="Garamond" w:hAnsi="Garamond"/>
            <w:iCs/>
          </w:rPr>
          <w:instrText>PAGE   \* MERGEFORMAT</w:instrText>
        </w:r>
        <w:r w:rsidR="002415D0" w:rsidRPr="002415D0">
          <w:rPr>
            <w:rFonts w:ascii="Garamond" w:hAnsi="Garamond"/>
            <w:iCs/>
          </w:rPr>
          <w:fldChar w:fldCharType="separate"/>
        </w:r>
        <w:r w:rsidR="002415D0" w:rsidRPr="002415D0">
          <w:rPr>
            <w:rFonts w:ascii="Garamond" w:hAnsi="Garamond"/>
            <w:iCs/>
          </w:rPr>
          <w:t>2</w:t>
        </w:r>
        <w:r w:rsidR="002415D0" w:rsidRPr="002415D0">
          <w:rPr>
            <w:rFonts w:ascii="Garamond" w:hAnsi="Garamond"/>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73E0" w14:textId="77777777" w:rsidR="00F010C3" w:rsidRDefault="00F010C3">
      <w:r>
        <w:separator/>
      </w:r>
    </w:p>
  </w:footnote>
  <w:footnote w:type="continuationSeparator" w:id="0">
    <w:p w14:paraId="7E3DE198" w14:textId="77777777" w:rsidR="00F010C3" w:rsidRDefault="00F0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661A" w14:textId="1DD54F79" w:rsidR="00975E7E" w:rsidRPr="00776548" w:rsidRDefault="004775CF" w:rsidP="000549A5">
    <w:pPr>
      <w:pStyle w:val="En-tte"/>
      <w:rPr>
        <w:rFonts w:ascii="Garamond" w:hAnsi="Garamond"/>
      </w:rPr>
    </w:pPr>
    <w:r w:rsidRPr="00545F11">
      <w:rPr>
        <w:noProof/>
      </w:rPr>
      <w:drawing>
        <wp:inline distT="0" distB="0" distL="0" distR="0" wp14:anchorId="1B569134" wp14:editId="630D2CDD">
          <wp:extent cx="1628775" cy="390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90525"/>
                  </a:xfrm>
                  <a:prstGeom prst="rect">
                    <a:avLst/>
                  </a:prstGeom>
                  <a:noFill/>
                  <a:ln>
                    <a:noFill/>
                  </a:ln>
                </pic:spPr>
              </pic:pic>
            </a:graphicData>
          </a:graphic>
        </wp:inline>
      </w:drawing>
    </w:r>
    <w:r w:rsidR="00975E7E">
      <w:rPr>
        <w:rFonts w:ascii="Garamond" w:hAnsi="Garamond"/>
        <w:noProof/>
      </w:rPr>
      <mc:AlternateContent>
        <mc:Choice Requires="wpg">
          <w:drawing>
            <wp:anchor distT="0" distB="0" distL="114300" distR="114300" simplePos="0" relativeHeight="251659264" behindDoc="0" locked="0" layoutInCell="1" allowOverlap="1" wp14:anchorId="126D28C7" wp14:editId="57EC430E">
              <wp:simplePos x="0" y="0"/>
              <wp:positionH relativeFrom="column">
                <wp:posOffset>6284595</wp:posOffset>
              </wp:positionH>
              <wp:positionV relativeFrom="paragraph">
                <wp:posOffset>635</wp:posOffset>
              </wp:positionV>
              <wp:extent cx="353695" cy="9486900"/>
              <wp:effectExtent l="0" t="0" r="27305" b="1905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9486900"/>
                        <a:chOff x="11257" y="877"/>
                        <a:chExt cx="557" cy="14940"/>
                      </a:xfrm>
                    </wpg:grpSpPr>
                    <wps:wsp>
                      <wps:cNvPr id="6" name="Rectangle 21"/>
                      <wps:cNvSpPr>
                        <a:spLocks noChangeArrowheads="1"/>
                      </wps:cNvSpPr>
                      <wps:spPr bwMode="auto">
                        <a:xfrm>
                          <a:off x="11257" y="877"/>
                          <a:ext cx="540" cy="3961"/>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1BDA7546" w14:textId="77777777" w:rsidR="00975E7E" w:rsidRPr="00171EB1" w:rsidRDefault="00975E7E" w:rsidP="002C3ECB">
                            <w:pPr>
                              <w:jc w:val="center"/>
                              <w:rPr>
                                <w:rFonts w:ascii="Garamond" w:hAnsi="Garamond"/>
                                <w:color w:val="FFFFFF"/>
                                <w:sz w:val="22"/>
                                <w:szCs w:val="22"/>
                              </w:rPr>
                            </w:pPr>
                            <w:r w:rsidRPr="000D39D9">
                              <w:rPr>
                                <w:rFonts w:ascii="Garamond" w:hAnsi="Garamond"/>
                                <w:color w:val="C0C0C0"/>
                                <w:sz w:val="22"/>
                                <w:szCs w:val="22"/>
                              </w:rPr>
                              <w:t>Organisation et vie de la société de gestion</w:t>
                            </w:r>
                          </w:p>
                          <w:p w14:paraId="26D1D161" w14:textId="77777777" w:rsidR="00975E7E" w:rsidRPr="000D39D9" w:rsidRDefault="00975E7E" w:rsidP="002C3ECB">
                            <w:pPr>
                              <w:rPr>
                                <w:szCs w:val="20"/>
                              </w:rPr>
                            </w:pPr>
                          </w:p>
                        </w:txbxContent>
                      </wps:txbx>
                      <wps:bodyPr rot="0" vert="vert270" wrap="square" lIns="91440" tIns="45720" rIns="91440" bIns="45720" anchor="t" anchorCtr="0" upright="1">
                        <a:noAutofit/>
                      </wps:bodyPr>
                    </wps:wsp>
                    <wps:wsp>
                      <wps:cNvPr id="31" name="Rectangle 22"/>
                      <wps:cNvSpPr>
                        <a:spLocks noChangeArrowheads="1"/>
                      </wps:cNvSpPr>
                      <wps:spPr bwMode="auto">
                        <a:xfrm>
                          <a:off x="11257" y="5017"/>
                          <a:ext cx="540" cy="288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5A5A2CA3" w14:textId="77777777" w:rsidR="00975E7E" w:rsidRPr="00F60EBF" w:rsidRDefault="00975E7E" w:rsidP="002C3ECB">
                            <w:pPr>
                              <w:jc w:val="center"/>
                              <w:rPr>
                                <w:rFonts w:ascii="Garamond" w:hAnsi="Garamond"/>
                                <w:color w:val="C0C0C0"/>
                                <w:sz w:val="22"/>
                                <w:szCs w:val="22"/>
                              </w:rPr>
                            </w:pPr>
                            <w:r w:rsidRPr="00F60EBF">
                              <w:rPr>
                                <w:rFonts w:ascii="Garamond" w:hAnsi="Garamond"/>
                                <w:color w:val="C0C0C0"/>
                                <w:sz w:val="22"/>
                                <w:szCs w:val="22"/>
                              </w:rPr>
                              <w:t>Gestion financière</w:t>
                            </w:r>
                          </w:p>
                        </w:txbxContent>
                      </wps:txbx>
                      <wps:bodyPr rot="0" vert="vert270" wrap="square" lIns="91440" tIns="45720" rIns="91440" bIns="45720" anchor="t" anchorCtr="0" upright="1">
                        <a:noAutofit/>
                      </wps:bodyPr>
                    </wps:wsp>
                    <wps:wsp>
                      <wps:cNvPr id="32" name="Rectangle 23"/>
                      <wps:cNvSpPr>
                        <a:spLocks noChangeArrowheads="1"/>
                      </wps:cNvSpPr>
                      <wps:spPr bwMode="auto">
                        <a:xfrm>
                          <a:off x="11257" y="8077"/>
                          <a:ext cx="540" cy="3060"/>
                        </a:xfrm>
                        <a:prstGeom prst="rect">
                          <a:avLst/>
                        </a:prstGeom>
                        <a:solidFill>
                          <a:srgbClr val="000080"/>
                        </a:solidFill>
                        <a:ln w="9525">
                          <a:solidFill>
                            <a:srgbClr val="FFFFFF"/>
                          </a:solidFill>
                          <a:miter lim="800000"/>
                          <a:headEnd/>
                          <a:tailEnd/>
                        </a:ln>
                      </wps:spPr>
                      <wps:txbx>
                        <w:txbxContent>
                          <w:p w14:paraId="506F3E1C" w14:textId="77777777" w:rsidR="00975E7E" w:rsidRPr="00171EB1" w:rsidRDefault="00975E7E" w:rsidP="002C3ECB">
                            <w:pPr>
                              <w:jc w:val="center"/>
                              <w:rPr>
                                <w:rFonts w:ascii="Garamond" w:hAnsi="Garamond"/>
                                <w:color w:val="C0C0C0"/>
                                <w:sz w:val="22"/>
                                <w:szCs w:val="22"/>
                              </w:rPr>
                            </w:pPr>
                            <w:r w:rsidRPr="00171EB1">
                              <w:rPr>
                                <w:rFonts w:ascii="Garamond" w:hAnsi="Garamond"/>
                                <w:color w:val="C0C0C0"/>
                                <w:sz w:val="22"/>
                                <w:szCs w:val="22"/>
                              </w:rPr>
                              <w:t>Administration de la clientèle</w:t>
                            </w:r>
                          </w:p>
                          <w:p w14:paraId="56AE8A4B" w14:textId="77777777" w:rsidR="00975E7E" w:rsidRPr="00F60EBF" w:rsidRDefault="00975E7E" w:rsidP="002C3ECB">
                            <w:pPr>
                              <w:rPr>
                                <w:szCs w:val="22"/>
                              </w:rPr>
                            </w:pPr>
                          </w:p>
                        </w:txbxContent>
                      </wps:txbx>
                      <wps:bodyPr rot="0" vert="vert270" wrap="square" lIns="91440" tIns="45720" rIns="91440" bIns="45720" anchor="t" anchorCtr="0" upright="1">
                        <a:noAutofit/>
                      </wps:bodyPr>
                    </wps:wsp>
                    <wps:wsp>
                      <wps:cNvPr id="35" name="Rectangle 24"/>
                      <wps:cNvSpPr>
                        <a:spLocks noChangeArrowheads="1"/>
                      </wps:cNvSpPr>
                      <wps:spPr bwMode="auto">
                        <a:xfrm>
                          <a:off x="11257" y="11317"/>
                          <a:ext cx="557" cy="45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00FC3C16" w14:textId="77777777" w:rsidR="00975E7E" w:rsidRPr="00DC5D64" w:rsidRDefault="00975E7E" w:rsidP="002C3ECB">
                            <w:pPr>
                              <w:jc w:val="center"/>
                              <w:rPr>
                                <w:rFonts w:ascii="Garamond" w:hAnsi="Garamond"/>
                                <w:color w:val="C0C0C0"/>
                                <w:sz w:val="22"/>
                                <w:szCs w:val="22"/>
                              </w:rPr>
                            </w:pPr>
                            <w:r w:rsidRPr="00DC5D64">
                              <w:rPr>
                                <w:rFonts w:ascii="Garamond" w:hAnsi="Garamond"/>
                                <w:color w:val="C0C0C0"/>
                                <w:sz w:val="22"/>
                                <w:szCs w:val="22"/>
                              </w:rPr>
                              <w:t>Bonne</w:t>
                            </w:r>
                            <w:r>
                              <w:rPr>
                                <w:rFonts w:ascii="Garamond" w:hAnsi="Garamond"/>
                                <w:color w:val="C0C0C0"/>
                                <w:sz w:val="22"/>
                                <w:szCs w:val="22"/>
                              </w:rPr>
                              <w:t xml:space="preserve"> </w:t>
                            </w:r>
                            <w:r w:rsidRPr="00DC5D64">
                              <w:rPr>
                                <w:rFonts w:ascii="Garamond" w:hAnsi="Garamond"/>
                                <w:color w:val="C0C0C0"/>
                                <w:sz w:val="22"/>
                                <w:szCs w:val="22"/>
                              </w:rPr>
                              <w:t>conduite, obligations professionnelles</w:t>
                            </w:r>
                          </w:p>
                        </w:txbxContent>
                      </wps:txbx>
                      <wps:bodyPr rot="0" vert="vert270"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6D28C7" id="Group 27" o:spid="_x0000_s1026" style="position:absolute;margin-left:494.85pt;margin-top:.05pt;width:27.85pt;height:747pt;z-index:251659264" coordorigin="11257,877" coordsize="557,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">
              <v:rect id="Rectangle 21" o:spid="_x0000_s1027" style="position:absolute;left:11257;top:877;width:540;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" filled="f" fillcolor="#ddd" strokecolor="#969696">
                <v:textbox style="layout-flow:vertical;mso-layout-flow-alt:bottom-to-top">
                  <w:txbxContent>
                    <w:p w14:paraId="1BDA7546" w14:textId="77777777" w:rsidR="00975E7E" w:rsidRPr="00171EB1" w:rsidRDefault="00975E7E" w:rsidP="002C3ECB">
                      <w:pPr>
                        <w:jc w:val="center"/>
                        <w:rPr>
                          <w:rFonts w:ascii="Garamond" w:hAnsi="Garamond"/>
                          <w:color w:val="FFFFFF"/>
                          <w:sz w:val="22"/>
                          <w:szCs w:val="22"/>
                        </w:rPr>
                      </w:pPr>
                      <w:r w:rsidRPr="000D39D9">
                        <w:rPr>
                          <w:rFonts w:ascii="Garamond" w:hAnsi="Garamond"/>
                          <w:color w:val="C0C0C0"/>
                          <w:sz w:val="22"/>
                          <w:szCs w:val="22"/>
                        </w:rPr>
                        <w:t>Organisation et vie de la société de gestion</w:t>
                      </w:r>
                    </w:p>
                    <w:p w14:paraId="26D1D161" w14:textId="77777777" w:rsidR="00975E7E" w:rsidRPr="000D39D9" w:rsidRDefault="00975E7E" w:rsidP="002C3ECB">
                      <w:pPr>
                        <w:rPr>
                          <w:szCs w:val="20"/>
                        </w:rPr>
                      </w:pPr>
                    </w:p>
                  </w:txbxContent>
                </v:textbox>
              </v:rect>
              <v:rect id="Rectangle 22" o:spid="_x0000_s1028" style="position:absolute;left:11257;top:5017;width:54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" filled="f" fillcolor="#ddd" strokecolor="#969696">
                <v:textbox style="layout-flow:vertical;mso-layout-flow-alt:bottom-to-top">
                  <w:txbxContent>
                    <w:p w14:paraId="5A5A2CA3" w14:textId="77777777" w:rsidR="00975E7E" w:rsidRPr="00F60EBF" w:rsidRDefault="00975E7E" w:rsidP="002C3ECB">
                      <w:pPr>
                        <w:jc w:val="center"/>
                        <w:rPr>
                          <w:rFonts w:ascii="Garamond" w:hAnsi="Garamond"/>
                          <w:color w:val="C0C0C0"/>
                          <w:sz w:val="22"/>
                          <w:szCs w:val="22"/>
                        </w:rPr>
                      </w:pPr>
                      <w:r w:rsidRPr="00F60EBF">
                        <w:rPr>
                          <w:rFonts w:ascii="Garamond" w:hAnsi="Garamond"/>
                          <w:color w:val="C0C0C0"/>
                          <w:sz w:val="22"/>
                          <w:szCs w:val="22"/>
                        </w:rPr>
                        <w:t>Gestion financière</w:t>
                      </w:r>
                    </w:p>
                  </w:txbxContent>
                </v:textbox>
              </v:rect>
              <v:rect id="Rectangle 23" o:spid="_x0000_s1029" style="position:absolute;left:11257;top:8077;width:5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" fillcolor="navy" strokecolor="white">
                <v:textbox style="layout-flow:vertical;mso-layout-flow-alt:bottom-to-top">
                  <w:txbxContent>
                    <w:p w14:paraId="506F3E1C" w14:textId="77777777" w:rsidR="00975E7E" w:rsidRPr="00171EB1" w:rsidRDefault="00975E7E" w:rsidP="002C3ECB">
                      <w:pPr>
                        <w:jc w:val="center"/>
                        <w:rPr>
                          <w:rFonts w:ascii="Garamond" w:hAnsi="Garamond"/>
                          <w:color w:val="C0C0C0"/>
                          <w:sz w:val="22"/>
                          <w:szCs w:val="22"/>
                        </w:rPr>
                      </w:pPr>
                      <w:r w:rsidRPr="00171EB1">
                        <w:rPr>
                          <w:rFonts w:ascii="Garamond" w:hAnsi="Garamond"/>
                          <w:color w:val="C0C0C0"/>
                          <w:sz w:val="22"/>
                          <w:szCs w:val="22"/>
                        </w:rPr>
                        <w:t>Administration de la clientèle</w:t>
                      </w:r>
                    </w:p>
                    <w:p w14:paraId="56AE8A4B" w14:textId="77777777" w:rsidR="00975E7E" w:rsidRPr="00F60EBF" w:rsidRDefault="00975E7E" w:rsidP="002C3ECB">
                      <w:pPr>
                        <w:rPr>
                          <w:szCs w:val="22"/>
                        </w:rPr>
                      </w:pPr>
                    </w:p>
                  </w:txbxContent>
                </v:textbox>
              </v:rect>
              <v:rect id="Rectangle 24" o:spid="_x0000_s1030" style="position:absolute;left:11257;top:11317;width:557;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" filled="f" fillcolor="#ddd" strokecolor="#969696">
                <v:textbox style="layout-flow:vertical;mso-layout-flow-alt:bottom-to-top;mso-fit-shape-to-text:t">
                  <w:txbxContent>
                    <w:p w14:paraId="00FC3C16" w14:textId="77777777" w:rsidR="00975E7E" w:rsidRPr="00DC5D64" w:rsidRDefault="00975E7E" w:rsidP="002C3ECB">
                      <w:pPr>
                        <w:jc w:val="center"/>
                        <w:rPr>
                          <w:rFonts w:ascii="Garamond" w:hAnsi="Garamond"/>
                          <w:color w:val="C0C0C0"/>
                          <w:sz w:val="22"/>
                          <w:szCs w:val="22"/>
                        </w:rPr>
                      </w:pPr>
                      <w:r w:rsidRPr="00DC5D64">
                        <w:rPr>
                          <w:rFonts w:ascii="Garamond" w:hAnsi="Garamond"/>
                          <w:color w:val="C0C0C0"/>
                          <w:sz w:val="22"/>
                          <w:szCs w:val="22"/>
                        </w:rPr>
                        <w:t>Bonne</w:t>
                      </w:r>
                      <w:r>
                        <w:rPr>
                          <w:rFonts w:ascii="Garamond" w:hAnsi="Garamond"/>
                          <w:color w:val="C0C0C0"/>
                          <w:sz w:val="22"/>
                          <w:szCs w:val="22"/>
                        </w:rPr>
                        <w:t xml:space="preserve"> </w:t>
                      </w:r>
                      <w:r w:rsidRPr="00DC5D64">
                        <w:rPr>
                          <w:rFonts w:ascii="Garamond" w:hAnsi="Garamond"/>
                          <w:color w:val="C0C0C0"/>
                          <w:sz w:val="22"/>
                          <w:szCs w:val="22"/>
                        </w:rPr>
                        <w:t>conduite, obligations professionnelles</w:t>
                      </w:r>
                    </w:p>
                  </w:txbxContent>
                </v:textbox>
              </v:rect>
            </v:group>
          </w:pict>
        </mc:Fallback>
      </mc:AlternateContent>
    </w:r>
    <w:r w:rsidR="00975E7E" w:rsidRPr="00CF39CC">
      <w:rPr>
        <w:rFonts w:ascii="Garamond" w:hAnsi="Garamond"/>
      </w:rPr>
      <w:tab/>
    </w:r>
    <w:r w:rsidR="00975E7E" w:rsidRPr="00CF39CC">
      <w:rPr>
        <w:rFonts w:ascii="Garamond" w:hAnsi="Garamond"/>
      </w:rPr>
      <w:tab/>
    </w:r>
    <w:r w:rsidR="00975E7E" w:rsidRPr="00961657">
      <w:rPr>
        <w:rFonts w:ascii="Garamond" w:hAnsi="Garamond"/>
        <w:noProof/>
      </w:rPr>
      <w:drawing>
        <wp:inline distT="0" distB="0" distL="0" distR="0" wp14:anchorId="13C173A6" wp14:editId="7F7E5E60">
          <wp:extent cx="942975" cy="590550"/>
          <wp:effectExtent l="0" t="0" r="9525"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A7"/>
    <w:multiLevelType w:val="hybridMultilevel"/>
    <w:tmpl w:val="94C23B96"/>
    <w:lvl w:ilvl="0" w:tplc="B51EDE1E">
      <w:start w:val="2"/>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6077A"/>
    <w:multiLevelType w:val="hybridMultilevel"/>
    <w:tmpl w:val="F608308E"/>
    <w:lvl w:ilvl="0" w:tplc="1A9ADD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23F54"/>
    <w:multiLevelType w:val="hybridMultilevel"/>
    <w:tmpl w:val="A5C870D8"/>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3494C"/>
    <w:multiLevelType w:val="hybridMultilevel"/>
    <w:tmpl w:val="F954A218"/>
    <w:lvl w:ilvl="0" w:tplc="0C30EE9E">
      <w:start w:val="1"/>
      <w:numFmt w:val="upp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18E1BBC"/>
    <w:multiLevelType w:val="hybridMultilevel"/>
    <w:tmpl w:val="845A18CA"/>
    <w:lvl w:ilvl="0" w:tplc="8FF05C44">
      <w:start w:val="1"/>
      <w:numFmt w:val="upperLetter"/>
      <w:lvlText w:val="%1."/>
      <w:lvlJc w:val="left"/>
      <w:pPr>
        <w:ind w:left="785"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CA52FA9"/>
    <w:multiLevelType w:val="hybridMultilevel"/>
    <w:tmpl w:val="5AF4A9D4"/>
    <w:lvl w:ilvl="0" w:tplc="573AD09C">
      <w:start w:val="1"/>
      <w:numFmt w:val="upperLetter"/>
      <w:pStyle w:val="titre2-ADVEN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DC66232"/>
    <w:multiLevelType w:val="hybridMultilevel"/>
    <w:tmpl w:val="C57E2476"/>
    <w:lvl w:ilvl="0" w:tplc="488C835E">
      <w:start w:val="1"/>
      <w:numFmt w:val="upperLetter"/>
      <w:pStyle w:val="T2modleAGAMA"/>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FF528F"/>
    <w:multiLevelType w:val="hybridMultilevel"/>
    <w:tmpl w:val="F392B254"/>
    <w:lvl w:ilvl="0" w:tplc="E47E772E">
      <w:start w:val="1"/>
      <w:numFmt w:val="decimal"/>
      <w:pStyle w:val="T3modleAGAMA"/>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2CE4C4B"/>
    <w:multiLevelType w:val="hybridMultilevel"/>
    <w:tmpl w:val="BE72D186"/>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86493E"/>
    <w:multiLevelType w:val="hybridMultilevel"/>
    <w:tmpl w:val="864EFB1E"/>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F07B7D"/>
    <w:multiLevelType w:val="hybridMultilevel"/>
    <w:tmpl w:val="3AAE914E"/>
    <w:lvl w:ilvl="0" w:tplc="777C3B6C">
      <w:start w:val="1"/>
      <w:numFmt w:val="upperLetter"/>
      <w:lvlText w:val="%1."/>
      <w:lvlJc w:val="left"/>
      <w:pPr>
        <w:ind w:left="785"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E32450A"/>
    <w:multiLevelType w:val="hybridMultilevel"/>
    <w:tmpl w:val="6FFEFE1A"/>
    <w:lvl w:ilvl="0" w:tplc="762ACC38">
      <w:start w:val="1"/>
      <w:numFmt w:val="upp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F61773"/>
    <w:multiLevelType w:val="hybridMultilevel"/>
    <w:tmpl w:val="E5069604"/>
    <w:lvl w:ilvl="0" w:tplc="B51EDE1E">
      <w:start w:val="2"/>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5E1744"/>
    <w:multiLevelType w:val="hybridMultilevel"/>
    <w:tmpl w:val="529CAE50"/>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E81ECB"/>
    <w:multiLevelType w:val="hybridMultilevel"/>
    <w:tmpl w:val="83A4D38C"/>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9E16BB"/>
    <w:multiLevelType w:val="hybridMultilevel"/>
    <w:tmpl w:val="9B2436B8"/>
    <w:lvl w:ilvl="0" w:tplc="600067F2">
      <w:start w:val="1"/>
      <w:numFmt w:val="upperLetter"/>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2F5098"/>
    <w:multiLevelType w:val="hybridMultilevel"/>
    <w:tmpl w:val="D6E2133C"/>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6A3BCE"/>
    <w:multiLevelType w:val="hybridMultilevel"/>
    <w:tmpl w:val="681EAB7A"/>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1B331F"/>
    <w:multiLevelType w:val="hybridMultilevel"/>
    <w:tmpl w:val="70448178"/>
    <w:lvl w:ilvl="0" w:tplc="31247B5A">
      <w:start w:val="1"/>
      <w:numFmt w:val="lowerLetter"/>
      <w:pStyle w:val="T4modleAGAMA"/>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7E780C3C"/>
    <w:multiLevelType w:val="hybridMultilevel"/>
    <w:tmpl w:val="A7783706"/>
    <w:lvl w:ilvl="0" w:tplc="4BB258A8">
      <w:start w:val="1"/>
      <w:numFmt w:val="upperRoman"/>
      <w:pStyle w:val="T1modleAGAMA"/>
      <w:lvlText w:val="%1."/>
      <w:lvlJc w:val="left"/>
      <w:pPr>
        <w:ind w:left="360" w:hanging="360"/>
      </w:pPr>
      <w:rPr>
        <w:rFonts w:ascii="Calibri" w:hAnsi="Calibri"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74824947">
    <w:abstractNumId w:val="19"/>
  </w:num>
  <w:num w:numId="2" w16cid:durableId="375348320">
    <w:abstractNumId w:val="7"/>
  </w:num>
  <w:num w:numId="3" w16cid:durableId="1899392776">
    <w:abstractNumId w:val="5"/>
  </w:num>
  <w:num w:numId="4" w16cid:durableId="2085568217">
    <w:abstractNumId w:val="18"/>
  </w:num>
  <w:num w:numId="5" w16cid:durableId="1142576781">
    <w:abstractNumId w:val="1"/>
  </w:num>
  <w:num w:numId="6" w16cid:durableId="2089495710">
    <w:abstractNumId w:val="3"/>
  </w:num>
  <w:num w:numId="7" w16cid:durableId="388499386">
    <w:abstractNumId w:val="17"/>
  </w:num>
  <w:num w:numId="8" w16cid:durableId="2032610874">
    <w:abstractNumId w:val="13"/>
  </w:num>
  <w:num w:numId="9" w16cid:durableId="505290288">
    <w:abstractNumId w:val="16"/>
  </w:num>
  <w:num w:numId="10" w16cid:durableId="1977366774">
    <w:abstractNumId w:val="14"/>
  </w:num>
  <w:num w:numId="11" w16cid:durableId="1784380918">
    <w:abstractNumId w:val="9"/>
  </w:num>
  <w:num w:numId="12" w16cid:durableId="568224598">
    <w:abstractNumId w:val="4"/>
    <w:lvlOverride w:ilvl="0">
      <w:startOverride w:val="1"/>
    </w:lvlOverride>
  </w:num>
  <w:num w:numId="13" w16cid:durableId="1945260728">
    <w:abstractNumId w:val="10"/>
  </w:num>
  <w:num w:numId="14" w16cid:durableId="1590777168">
    <w:abstractNumId w:val="0"/>
  </w:num>
  <w:num w:numId="15" w16cid:durableId="684328116">
    <w:abstractNumId w:val="11"/>
    <w:lvlOverride w:ilvl="0">
      <w:startOverride w:val="1"/>
    </w:lvlOverride>
  </w:num>
  <w:num w:numId="16" w16cid:durableId="1773276587">
    <w:abstractNumId w:val="2"/>
  </w:num>
  <w:num w:numId="17" w16cid:durableId="1000351742">
    <w:abstractNumId w:val="15"/>
    <w:lvlOverride w:ilvl="0">
      <w:startOverride w:val="1"/>
    </w:lvlOverride>
  </w:num>
  <w:num w:numId="18" w16cid:durableId="972709693">
    <w:abstractNumId w:val="8"/>
  </w:num>
  <w:num w:numId="19" w16cid:durableId="91898083">
    <w:abstractNumId w:val="6"/>
  </w:num>
  <w:num w:numId="20" w16cid:durableId="1126586248">
    <w:abstractNumId w:val="12"/>
  </w:num>
  <w:num w:numId="21" w16cid:durableId="1071929323">
    <w:abstractNumId w:val="6"/>
    <w:lvlOverride w:ilvl="0">
      <w:startOverride w:val="1"/>
    </w:lvlOverride>
  </w:num>
  <w:num w:numId="22" w16cid:durableId="1125467877">
    <w:abstractNumId w:val="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0B"/>
    <w:rsid w:val="000035B4"/>
    <w:rsid w:val="00003BFB"/>
    <w:rsid w:val="00003FFD"/>
    <w:rsid w:val="00005E35"/>
    <w:rsid w:val="00006764"/>
    <w:rsid w:val="000070BF"/>
    <w:rsid w:val="00010306"/>
    <w:rsid w:val="00012B66"/>
    <w:rsid w:val="00013EA8"/>
    <w:rsid w:val="00014A3D"/>
    <w:rsid w:val="00015559"/>
    <w:rsid w:val="000174A5"/>
    <w:rsid w:val="00020D24"/>
    <w:rsid w:val="0002197A"/>
    <w:rsid w:val="0002218F"/>
    <w:rsid w:val="00024D1C"/>
    <w:rsid w:val="00032615"/>
    <w:rsid w:val="00035091"/>
    <w:rsid w:val="00037905"/>
    <w:rsid w:val="00037FE5"/>
    <w:rsid w:val="00041326"/>
    <w:rsid w:val="0004240A"/>
    <w:rsid w:val="00043484"/>
    <w:rsid w:val="00046EF1"/>
    <w:rsid w:val="000549A5"/>
    <w:rsid w:val="00054E97"/>
    <w:rsid w:val="00060235"/>
    <w:rsid w:val="00061015"/>
    <w:rsid w:val="00061343"/>
    <w:rsid w:val="00063B5F"/>
    <w:rsid w:val="00065946"/>
    <w:rsid w:val="0007354A"/>
    <w:rsid w:val="00076BD4"/>
    <w:rsid w:val="00080611"/>
    <w:rsid w:val="00081B2F"/>
    <w:rsid w:val="00083D3F"/>
    <w:rsid w:val="00084483"/>
    <w:rsid w:val="00086599"/>
    <w:rsid w:val="0009417D"/>
    <w:rsid w:val="00094569"/>
    <w:rsid w:val="00097956"/>
    <w:rsid w:val="00097D2A"/>
    <w:rsid w:val="000A349D"/>
    <w:rsid w:val="000A54B5"/>
    <w:rsid w:val="000B21F4"/>
    <w:rsid w:val="000B6E4D"/>
    <w:rsid w:val="000B7F0D"/>
    <w:rsid w:val="000C16F1"/>
    <w:rsid w:val="000C2765"/>
    <w:rsid w:val="000C30A9"/>
    <w:rsid w:val="000C5229"/>
    <w:rsid w:val="000C6057"/>
    <w:rsid w:val="000C780F"/>
    <w:rsid w:val="000C7C1D"/>
    <w:rsid w:val="000C7EAD"/>
    <w:rsid w:val="000D028A"/>
    <w:rsid w:val="000D0717"/>
    <w:rsid w:val="000D0767"/>
    <w:rsid w:val="000D3D0A"/>
    <w:rsid w:val="000D4FC0"/>
    <w:rsid w:val="000D737F"/>
    <w:rsid w:val="000E3719"/>
    <w:rsid w:val="000E4F64"/>
    <w:rsid w:val="000E7B77"/>
    <w:rsid w:val="000F1197"/>
    <w:rsid w:val="000F15DE"/>
    <w:rsid w:val="000F33C5"/>
    <w:rsid w:val="000F4160"/>
    <w:rsid w:val="000F7860"/>
    <w:rsid w:val="001009BC"/>
    <w:rsid w:val="00100C52"/>
    <w:rsid w:val="00100D50"/>
    <w:rsid w:val="001033C2"/>
    <w:rsid w:val="00105874"/>
    <w:rsid w:val="00106A1D"/>
    <w:rsid w:val="00107288"/>
    <w:rsid w:val="00110A91"/>
    <w:rsid w:val="0011147A"/>
    <w:rsid w:val="00113859"/>
    <w:rsid w:val="00114426"/>
    <w:rsid w:val="001157AF"/>
    <w:rsid w:val="00116C3C"/>
    <w:rsid w:val="001231A2"/>
    <w:rsid w:val="0012341C"/>
    <w:rsid w:val="001240A4"/>
    <w:rsid w:val="00126733"/>
    <w:rsid w:val="00127186"/>
    <w:rsid w:val="00127FE7"/>
    <w:rsid w:val="00127FE8"/>
    <w:rsid w:val="00130A4F"/>
    <w:rsid w:val="00130EFD"/>
    <w:rsid w:val="00132FFE"/>
    <w:rsid w:val="001338C6"/>
    <w:rsid w:val="00133BD5"/>
    <w:rsid w:val="0013503D"/>
    <w:rsid w:val="00135483"/>
    <w:rsid w:val="00135EAD"/>
    <w:rsid w:val="00136C1A"/>
    <w:rsid w:val="00136EAB"/>
    <w:rsid w:val="00142997"/>
    <w:rsid w:val="00143388"/>
    <w:rsid w:val="00144C6B"/>
    <w:rsid w:val="00145456"/>
    <w:rsid w:val="0014751D"/>
    <w:rsid w:val="00151178"/>
    <w:rsid w:val="001532FB"/>
    <w:rsid w:val="00153684"/>
    <w:rsid w:val="00160889"/>
    <w:rsid w:val="00161F14"/>
    <w:rsid w:val="00162403"/>
    <w:rsid w:val="00164A34"/>
    <w:rsid w:val="00170D2F"/>
    <w:rsid w:val="001726ED"/>
    <w:rsid w:val="00173008"/>
    <w:rsid w:val="00174195"/>
    <w:rsid w:val="001744E9"/>
    <w:rsid w:val="00176CBC"/>
    <w:rsid w:val="001779B1"/>
    <w:rsid w:val="00177D30"/>
    <w:rsid w:val="001808FE"/>
    <w:rsid w:val="00182717"/>
    <w:rsid w:val="001840CA"/>
    <w:rsid w:val="00185871"/>
    <w:rsid w:val="001909CA"/>
    <w:rsid w:val="00193943"/>
    <w:rsid w:val="00193A3C"/>
    <w:rsid w:val="00197A3E"/>
    <w:rsid w:val="001A0579"/>
    <w:rsid w:val="001A17AB"/>
    <w:rsid w:val="001A5239"/>
    <w:rsid w:val="001A63B9"/>
    <w:rsid w:val="001A6803"/>
    <w:rsid w:val="001B0B3D"/>
    <w:rsid w:val="001B18BC"/>
    <w:rsid w:val="001B2162"/>
    <w:rsid w:val="001B3E5E"/>
    <w:rsid w:val="001B3FAA"/>
    <w:rsid w:val="001B62A4"/>
    <w:rsid w:val="001B654B"/>
    <w:rsid w:val="001B6775"/>
    <w:rsid w:val="001B7356"/>
    <w:rsid w:val="001C01FD"/>
    <w:rsid w:val="001C02C7"/>
    <w:rsid w:val="001C0D45"/>
    <w:rsid w:val="001C0F0F"/>
    <w:rsid w:val="001C253F"/>
    <w:rsid w:val="001C37A0"/>
    <w:rsid w:val="001C53B4"/>
    <w:rsid w:val="001D15FE"/>
    <w:rsid w:val="001D2928"/>
    <w:rsid w:val="001D4083"/>
    <w:rsid w:val="001D4804"/>
    <w:rsid w:val="001D5875"/>
    <w:rsid w:val="001D7C5F"/>
    <w:rsid w:val="001E1DA2"/>
    <w:rsid w:val="001E5D3B"/>
    <w:rsid w:val="001E5DC5"/>
    <w:rsid w:val="001E5FA2"/>
    <w:rsid w:val="001E6B16"/>
    <w:rsid w:val="001F0AE5"/>
    <w:rsid w:val="001F0E6E"/>
    <w:rsid w:val="001F269A"/>
    <w:rsid w:val="001F390A"/>
    <w:rsid w:val="001F736A"/>
    <w:rsid w:val="002004AA"/>
    <w:rsid w:val="00200B31"/>
    <w:rsid w:val="00202798"/>
    <w:rsid w:val="002036DA"/>
    <w:rsid w:val="002119AD"/>
    <w:rsid w:val="00223F9F"/>
    <w:rsid w:val="00224034"/>
    <w:rsid w:val="002259B9"/>
    <w:rsid w:val="0022740C"/>
    <w:rsid w:val="00231784"/>
    <w:rsid w:val="002317AD"/>
    <w:rsid w:val="002318BB"/>
    <w:rsid w:val="00233D0A"/>
    <w:rsid w:val="00241485"/>
    <w:rsid w:val="002415D0"/>
    <w:rsid w:val="00241853"/>
    <w:rsid w:val="00244E3B"/>
    <w:rsid w:val="0024547D"/>
    <w:rsid w:val="00246F2A"/>
    <w:rsid w:val="00250BE6"/>
    <w:rsid w:val="00252AB3"/>
    <w:rsid w:val="00252FD8"/>
    <w:rsid w:val="002545BD"/>
    <w:rsid w:val="00255AD0"/>
    <w:rsid w:val="002560AB"/>
    <w:rsid w:val="00260A87"/>
    <w:rsid w:val="00261208"/>
    <w:rsid w:val="00261E69"/>
    <w:rsid w:val="00262871"/>
    <w:rsid w:val="0026383D"/>
    <w:rsid w:val="00264D73"/>
    <w:rsid w:val="00265EE9"/>
    <w:rsid w:val="002663BA"/>
    <w:rsid w:val="00266B4C"/>
    <w:rsid w:val="00267162"/>
    <w:rsid w:val="00274426"/>
    <w:rsid w:val="00274FF9"/>
    <w:rsid w:val="0027614E"/>
    <w:rsid w:val="00281F97"/>
    <w:rsid w:val="0028242D"/>
    <w:rsid w:val="0028248B"/>
    <w:rsid w:val="002908E0"/>
    <w:rsid w:val="00293A49"/>
    <w:rsid w:val="00293EBC"/>
    <w:rsid w:val="002942CF"/>
    <w:rsid w:val="002976C8"/>
    <w:rsid w:val="002A70B2"/>
    <w:rsid w:val="002B2EC5"/>
    <w:rsid w:val="002B64D7"/>
    <w:rsid w:val="002C1232"/>
    <w:rsid w:val="002C14CE"/>
    <w:rsid w:val="002C3ECB"/>
    <w:rsid w:val="002C4CC5"/>
    <w:rsid w:val="002C4DCE"/>
    <w:rsid w:val="002C58BC"/>
    <w:rsid w:val="002D0866"/>
    <w:rsid w:val="002D2D4D"/>
    <w:rsid w:val="002D76E2"/>
    <w:rsid w:val="002E0733"/>
    <w:rsid w:val="002E0A8C"/>
    <w:rsid w:val="002E0B18"/>
    <w:rsid w:val="002E0C35"/>
    <w:rsid w:val="002E0DA3"/>
    <w:rsid w:val="002E175D"/>
    <w:rsid w:val="002E2D27"/>
    <w:rsid w:val="002E3164"/>
    <w:rsid w:val="002E39B6"/>
    <w:rsid w:val="002F046B"/>
    <w:rsid w:val="002F267E"/>
    <w:rsid w:val="002F2826"/>
    <w:rsid w:val="002F59CC"/>
    <w:rsid w:val="002F6253"/>
    <w:rsid w:val="002F64BB"/>
    <w:rsid w:val="00302A14"/>
    <w:rsid w:val="00303E06"/>
    <w:rsid w:val="00304D20"/>
    <w:rsid w:val="00306F6C"/>
    <w:rsid w:val="003075EE"/>
    <w:rsid w:val="00310AB3"/>
    <w:rsid w:val="003119DF"/>
    <w:rsid w:val="00311A61"/>
    <w:rsid w:val="00311F17"/>
    <w:rsid w:val="00313D04"/>
    <w:rsid w:val="00314882"/>
    <w:rsid w:val="00315E80"/>
    <w:rsid w:val="003164FA"/>
    <w:rsid w:val="0032244B"/>
    <w:rsid w:val="00322735"/>
    <w:rsid w:val="003239EC"/>
    <w:rsid w:val="00325CBE"/>
    <w:rsid w:val="0033213C"/>
    <w:rsid w:val="00332827"/>
    <w:rsid w:val="00333D92"/>
    <w:rsid w:val="00335DA7"/>
    <w:rsid w:val="003362D0"/>
    <w:rsid w:val="003377AD"/>
    <w:rsid w:val="00340A0D"/>
    <w:rsid w:val="00340E4A"/>
    <w:rsid w:val="003412F1"/>
    <w:rsid w:val="00341490"/>
    <w:rsid w:val="003422A1"/>
    <w:rsid w:val="00342C3D"/>
    <w:rsid w:val="00342F30"/>
    <w:rsid w:val="00343499"/>
    <w:rsid w:val="003448AD"/>
    <w:rsid w:val="003470BA"/>
    <w:rsid w:val="0035073D"/>
    <w:rsid w:val="0035128E"/>
    <w:rsid w:val="003518CC"/>
    <w:rsid w:val="003559BC"/>
    <w:rsid w:val="00355BFF"/>
    <w:rsid w:val="00355F07"/>
    <w:rsid w:val="00356224"/>
    <w:rsid w:val="00356667"/>
    <w:rsid w:val="00363EEA"/>
    <w:rsid w:val="003647BB"/>
    <w:rsid w:val="00364E16"/>
    <w:rsid w:val="00365621"/>
    <w:rsid w:val="00366714"/>
    <w:rsid w:val="0037135A"/>
    <w:rsid w:val="00371CA4"/>
    <w:rsid w:val="00373A3A"/>
    <w:rsid w:val="00375669"/>
    <w:rsid w:val="00375A9C"/>
    <w:rsid w:val="003932F2"/>
    <w:rsid w:val="00393DEF"/>
    <w:rsid w:val="003A02AB"/>
    <w:rsid w:val="003A03B4"/>
    <w:rsid w:val="003A0441"/>
    <w:rsid w:val="003A054E"/>
    <w:rsid w:val="003A0796"/>
    <w:rsid w:val="003A0BA2"/>
    <w:rsid w:val="003A1E07"/>
    <w:rsid w:val="003A2B9E"/>
    <w:rsid w:val="003A53FE"/>
    <w:rsid w:val="003A6525"/>
    <w:rsid w:val="003B1480"/>
    <w:rsid w:val="003B2A5C"/>
    <w:rsid w:val="003B4027"/>
    <w:rsid w:val="003B67DF"/>
    <w:rsid w:val="003B7345"/>
    <w:rsid w:val="003B759D"/>
    <w:rsid w:val="003C695C"/>
    <w:rsid w:val="003D02A9"/>
    <w:rsid w:val="003D129A"/>
    <w:rsid w:val="003D1621"/>
    <w:rsid w:val="003D2D01"/>
    <w:rsid w:val="003D4E13"/>
    <w:rsid w:val="003E1539"/>
    <w:rsid w:val="003E4F5F"/>
    <w:rsid w:val="003E50F5"/>
    <w:rsid w:val="003E6654"/>
    <w:rsid w:val="003E7172"/>
    <w:rsid w:val="003F00D5"/>
    <w:rsid w:val="003F1212"/>
    <w:rsid w:val="003F1394"/>
    <w:rsid w:val="003F6078"/>
    <w:rsid w:val="003F6D69"/>
    <w:rsid w:val="003F7A13"/>
    <w:rsid w:val="00402083"/>
    <w:rsid w:val="00404384"/>
    <w:rsid w:val="00410184"/>
    <w:rsid w:val="00410703"/>
    <w:rsid w:val="00410CA8"/>
    <w:rsid w:val="004111F7"/>
    <w:rsid w:val="0041197D"/>
    <w:rsid w:val="00412753"/>
    <w:rsid w:val="00412A32"/>
    <w:rsid w:val="00412CC0"/>
    <w:rsid w:val="00413C25"/>
    <w:rsid w:val="00414478"/>
    <w:rsid w:val="00414B79"/>
    <w:rsid w:val="00414DE5"/>
    <w:rsid w:val="00416238"/>
    <w:rsid w:val="00422388"/>
    <w:rsid w:val="00423142"/>
    <w:rsid w:val="004241F0"/>
    <w:rsid w:val="00427848"/>
    <w:rsid w:val="004312C8"/>
    <w:rsid w:val="004326A5"/>
    <w:rsid w:val="00433157"/>
    <w:rsid w:val="00433176"/>
    <w:rsid w:val="004338D0"/>
    <w:rsid w:val="00435869"/>
    <w:rsid w:val="00436711"/>
    <w:rsid w:val="00440CCD"/>
    <w:rsid w:val="00444D17"/>
    <w:rsid w:val="00445783"/>
    <w:rsid w:val="00445AC7"/>
    <w:rsid w:val="00450AD8"/>
    <w:rsid w:val="00464848"/>
    <w:rsid w:val="00466A39"/>
    <w:rsid w:val="00474CBA"/>
    <w:rsid w:val="004762EC"/>
    <w:rsid w:val="0047753E"/>
    <w:rsid w:val="004775CF"/>
    <w:rsid w:val="004776C4"/>
    <w:rsid w:val="00480BBD"/>
    <w:rsid w:val="00480D54"/>
    <w:rsid w:val="0048141A"/>
    <w:rsid w:val="00484838"/>
    <w:rsid w:val="00484B58"/>
    <w:rsid w:val="00485117"/>
    <w:rsid w:val="00487AEE"/>
    <w:rsid w:val="00491ECB"/>
    <w:rsid w:val="00493107"/>
    <w:rsid w:val="004948D2"/>
    <w:rsid w:val="00495531"/>
    <w:rsid w:val="00496D6D"/>
    <w:rsid w:val="004A0125"/>
    <w:rsid w:val="004A16A2"/>
    <w:rsid w:val="004A1F2B"/>
    <w:rsid w:val="004A31EC"/>
    <w:rsid w:val="004A3628"/>
    <w:rsid w:val="004A5A2A"/>
    <w:rsid w:val="004A5A4F"/>
    <w:rsid w:val="004A7B4F"/>
    <w:rsid w:val="004B016E"/>
    <w:rsid w:val="004B4239"/>
    <w:rsid w:val="004B62AD"/>
    <w:rsid w:val="004C2075"/>
    <w:rsid w:val="004C2E70"/>
    <w:rsid w:val="004C3C28"/>
    <w:rsid w:val="004C70CF"/>
    <w:rsid w:val="004C78BE"/>
    <w:rsid w:val="004D2548"/>
    <w:rsid w:val="004D29CA"/>
    <w:rsid w:val="004D4694"/>
    <w:rsid w:val="004D4BEE"/>
    <w:rsid w:val="004D4D10"/>
    <w:rsid w:val="004D620F"/>
    <w:rsid w:val="004D67CE"/>
    <w:rsid w:val="004D6F38"/>
    <w:rsid w:val="004D74AC"/>
    <w:rsid w:val="004E1A5E"/>
    <w:rsid w:val="004E1D46"/>
    <w:rsid w:val="004E2610"/>
    <w:rsid w:val="004E2866"/>
    <w:rsid w:val="004E2ADD"/>
    <w:rsid w:val="004E38AD"/>
    <w:rsid w:val="004E66AB"/>
    <w:rsid w:val="004E77E5"/>
    <w:rsid w:val="004E7DF8"/>
    <w:rsid w:val="004F2570"/>
    <w:rsid w:val="004F4171"/>
    <w:rsid w:val="004F4C92"/>
    <w:rsid w:val="004F4F33"/>
    <w:rsid w:val="004F57D9"/>
    <w:rsid w:val="005007CF"/>
    <w:rsid w:val="00500807"/>
    <w:rsid w:val="00502A84"/>
    <w:rsid w:val="0050428C"/>
    <w:rsid w:val="005042DE"/>
    <w:rsid w:val="00504CEC"/>
    <w:rsid w:val="00507A26"/>
    <w:rsid w:val="00513E76"/>
    <w:rsid w:val="005172AB"/>
    <w:rsid w:val="00517398"/>
    <w:rsid w:val="005222F1"/>
    <w:rsid w:val="00522EB1"/>
    <w:rsid w:val="00523D94"/>
    <w:rsid w:val="00524BD6"/>
    <w:rsid w:val="00524DA2"/>
    <w:rsid w:val="00524E2C"/>
    <w:rsid w:val="00530160"/>
    <w:rsid w:val="005304CE"/>
    <w:rsid w:val="00531A22"/>
    <w:rsid w:val="0053337D"/>
    <w:rsid w:val="00533480"/>
    <w:rsid w:val="005353FA"/>
    <w:rsid w:val="00541E3E"/>
    <w:rsid w:val="00543DD7"/>
    <w:rsid w:val="00547621"/>
    <w:rsid w:val="00550C7C"/>
    <w:rsid w:val="005515AD"/>
    <w:rsid w:val="00553347"/>
    <w:rsid w:val="005565A0"/>
    <w:rsid w:val="00557294"/>
    <w:rsid w:val="005601D8"/>
    <w:rsid w:val="00561110"/>
    <w:rsid w:val="00562EDF"/>
    <w:rsid w:val="005632B3"/>
    <w:rsid w:val="005648ED"/>
    <w:rsid w:val="00570CFE"/>
    <w:rsid w:val="005727E7"/>
    <w:rsid w:val="00573F06"/>
    <w:rsid w:val="0057405F"/>
    <w:rsid w:val="005752EF"/>
    <w:rsid w:val="00575C90"/>
    <w:rsid w:val="0057675A"/>
    <w:rsid w:val="005772CA"/>
    <w:rsid w:val="005835AE"/>
    <w:rsid w:val="00590231"/>
    <w:rsid w:val="00590F13"/>
    <w:rsid w:val="00591184"/>
    <w:rsid w:val="0059276A"/>
    <w:rsid w:val="00593C38"/>
    <w:rsid w:val="00597730"/>
    <w:rsid w:val="00597E22"/>
    <w:rsid w:val="005A12D1"/>
    <w:rsid w:val="005A222B"/>
    <w:rsid w:val="005A357B"/>
    <w:rsid w:val="005A4793"/>
    <w:rsid w:val="005B1764"/>
    <w:rsid w:val="005B2476"/>
    <w:rsid w:val="005B2B45"/>
    <w:rsid w:val="005B36E7"/>
    <w:rsid w:val="005B4F97"/>
    <w:rsid w:val="005B51EA"/>
    <w:rsid w:val="005B7A96"/>
    <w:rsid w:val="005C0D6D"/>
    <w:rsid w:val="005C254F"/>
    <w:rsid w:val="005C2842"/>
    <w:rsid w:val="005C2F4F"/>
    <w:rsid w:val="005C39BA"/>
    <w:rsid w:val="005C48B0"/>
    <w:rsid w:val="005D003E"/>
    <w:rsid w:val="005D01E4"/>
    <w:rsid w:val="005D0C7F"/>
    <w:rsid w:val="005D1693"/>
    <w:rsid w:val="005D3330"/>
    <w:rsid w:val="005D415B"/>
    <w:rsid w:val="005D55DA"/>
    <w:rsid w:val="005D634E"/>
    <w:rsid w:val="005D768C"/>
    <w:rsid w:val="005E493F"/>
    <w:rsid w:val="005E7F0E"/>
    <w:rsid w:val="005F057D"/>
    <w:rsid w:val="005F0B23"/>
    <w:rsid w:val="005F1CC6"/>
    <w:rsid w:val="005F1CF5"/>
    <w:rsid w:val="005F24D3"/>
    <w:rsid w:val="005F2B6E"/>
    <w:rsid w:val="005F4AD1"/>
    <w:rsid w:val="005F5360"/>
    <w:rsid w:val="005F6079"/>
    <w:rsid w:val="005F6421"/>
    <w:rsid w:val="0060027A"/>
    <w:rsid w:val="00600428"/>
    <w:rsid w:val="006008C5"/>
    <w:rsid w:val="00602E20"/>
    <w:rsid w:val="006038C2"/>
    <w:rsid w:val="00603D49"/>
    <w:rsid w:val="006044A4"/>
    <w:rsid w:val="00604B3D"/>
    <w:rsid w:val="00604B7D"/>
    <w:rsid w:val="006064A9"/>
    <w:rsid w:val="00607298"/>
    <w:rsid w:val="00607CA4"/>
    <w:rsid w:val="00610526"/>
    <w:rsid w:val="006118AA"/>
    <w:rsid w:val="006129BF"/>
    <w:rsid w:val="0061354D"/>
    <w:rsid w:val="006154B9"/>
    <w:rsid w:val="006164BA"/>
    <w:rsid w:val="00616AC9"/>
    <w:rsid w:val="006209F6"/>
    <w:rsid w:val="00620FB7"/>
    <w:rsid w:val="006218D7"/>
    <w:rsid w:val="00622CB8"/>
    <w:rsid w:val="00624C3D"/>
    <w:rsid w:val="00626F87"/>
    <w:rsid w:val="00627621"/>
    <w:rsid w:val="00627F12"/>
    <w:rsid w:val="00635DDA"/>
    <w:rsid w:val="00636B4A"/>
    <w:rsid w:val="0064022F"/>
    <w:rsid w:val="00642E3E"/>
    <w:rsid w:val="00643370"/>
    <w:rsid w:val="0064454A"/>
    <w:rsid w:val="00644985"/>
    <w:rsid w:val="006450DF"/>
    <w:rsid w:val="00645EEB"/>
    <w:rsid w:val="00647A55"/>
    <w:rsid w:val="00650B97"/>
    <w:rsid w:val="0065149F"/>
    <w:rsid w:val="0065195D"/>
    <w:rsid w:val="0065213A"/>
    <w:rsid w:val="006538E7"/>
    <w:rsid w:val="0065499A"/>
    <w:rsid w:val="00654B98"/>
    <w:rsid w:val="00655153"/>
    <w:rsid w:val="006552FF"/>
    <w:rsid w:val="00661C9C"/>
    <w:rsid w:val="006641C0"/>
    <w:rsid w:val="00665D4C"/>
    <w:rsid w:val="006670DB"/>
    <w:rsid w:val="0066713A"/>
    <w:rsid w:val="00670B0F"/>
    <w:rsid w:val="006721EA"/>
    <w:rsid w:val="006729B3"/>
    <w:rsid w:val="006750F8"/>
    <w:rsid w:val="00677869"/>
    <w:rsid w:val="00677D7A"/>
    <w:rsid w:val="00680F4B"/>
    <w:rsid w:val="00685857"/>
    <w:rsid w:val="00686CD6"/>
    <w:rsid w:val="00686F86"/>
    <w:rsid w:val="00687F9C"/>
    <w:rsid w:val="006904C2"/>
    <w:rsid w:val="00691F3B"/>
    <w:rsid w:val="00692A7F"/>
    <w:rsid w:val="006935F0"/>
    <w:rsid w:val="0069382F"/>
    <w:rsid w:val="00697530"/>
    <w:rsid w:val="00697AD6"/>
    <w:rsid w:val="006A1050"/>
    <w:rsid w:val="006A10F4"/>
    <w:rsid w:val="006A1C3D"/>
    <w:rsid w:val="006A2009"/>
    <w:rsid w:val="006A7174"/>
    <w:rsid w:val="006A7612"/>
    <w:rsid w:val="006B1C79"/>
    <w:rsid w:val="006B29F6"/>
    <w:rsid w:val="006B47B8"/>
    <w:rsid w:val="006B787B"/>
    <w:rsid w:val="006B7C93"/>
    <w:rsid w:val="006B7F02"/>
    <w:rsid w:val="006C1636"/>
    <w:rsid w:val="006C1789"/>
    <w:rsid w:val="006C3C6C"/>
    <w:rsid w:val="006C7D44"/>
    <w:rsid w:val="006D0F8B"/>
    <w:rsid w:val="006D1B54"/>
    <w:rsid w:val="006D1D8F"/>
    <w:rsid w:val="006D21CB"/>
    <w:rsid w:val="006D336F"/>
    <w:rsid w:val="006D3FAD"/>
    <w:rsid w:val="006D5819"/>
    <w:rsid w:val="006E24AE"/>
    <w:rsid w:val="006E4DF7"/>
    <w:rsid w:val="006E53C6"/>
    <w:rsid w:val="006E5ACB"/>
    <w:rsid w:val="006E5B70"/>
    <w:rsid w:val="006E6DF8"/>
    <w:rsid w:val="006F0C9D"/>
    <w:rsid w:val="006F1494"/>
    <w:rsid w:val="006F44C7"/>
    <w:rsid w:val="006F482B"/>
    <w:rsid w:val="00700AA2"/>
    <w:rsid w:val="00702BCE"/>
    <w:rsid w:val="00702DE8"/>
    <w:rsid w:val="00703B37"/>
    <w:rsid w:val="007078C3"/>
    <w:rsid w:val="00710365"/>
    <w:rsid w:val="00710C14"/>
    <w:rsid w:val="00711C79"/>
    <w:rsid w:val="00711D7D"/>
    <w:rsid w:val="00712D7B"/>
    <w:rsid w:val="00720B5F"/>
    <w:rsid w:val="00720C9D"/>
    <w:rsid w:val="007238CD"/>
    <w:rsid w:val="00725399"/>
    <w:rsid w:val="007253BF"/>
    <w:rsid w:val="00726AFE"/>
    <w:rsid w:val="00726D67"/>
    <w:rsid w:val="007271C0"/>
    <w:rsid w:val="0072747D"/>
    <w:rsid w:val="00733727"/>
    <w:rsid w:val="00736E81"/>
    <w:rsid w:val="0074083F"/>
    <w:rsid w:val="007422E8"/>
    <w:rsid w:val="00743C46"/>
    <w:rsid w:val="00751BD2"/>
    <w:rsid w:val="00752078"/>
    <w:rsid w:val="00753068"/>
    <w:rsid w:val="0075353B"/>
    <w:rsid w:val="00753D86"/>
    <w:rsid w:val="007555F8"/>
    <w:rsid w:val="0075774B"/>
    <w:rsid w:val="00757F21"/>
    <w:rsid w:val="00760A2F"/>
    <w:rsid w:val="0076649C"/>
    <w:rsid w:val="0076654C"/>
    <w:rsid w:val="00767363"/>
    <w:rsid w:val="00767B80"/>
    <w:rsid w:val="00770D4C"/>
    <w:rsid w:val="0077150E"/>
    <w:rsid w:val="00772501"/>
    <w:rsid w:val="00772674"/>
    <w:rsid w:val="00776548"/>
    <w:rsid w:val="00777C6C"/>
    <w:rsid w:val="00780BC4"/>
    <w:rsid w:val="00784457"/>
    <w:rsid w:val="00784845"/>
    <w:rsid w:val="007849FA"/>
    <w:rsid w:val="00784B8A"/>
    <w:rsid w:val="00787C6E"/>
    <w:rsid w:val="00787D1E"/>
    <w:rsid w:val="00794994"/>
    <w:rsid w:val="00795A32"/>
    <w:rsid w:val="007962E9"/>
    <w:rsid w:val="0079717B"/>
    <w:rsid w:val="00797ECD"/>
    <w:rsid w:val="007A22E8"/>
    <w:rsid w:val="007A3AA0"/>
    <w:rsid w:val="007A407F"/>
    <w:rsid w:val="007A446F"/>
    <w:rsid w:val="007A4504"/>
    <w:rsid w:val="007A5544"/>
    <w:rsid w:val="007A561C"/>
    <w:rsid w:val="007B188C"/>
    <w:rsid w:val="007B1D78"/>
    <w:rsid w:val="007B25C6"/>
    <w:rsid w:val="007B4D55"/>
    <w:rsid w:val="007B74C0"/>
    <w:rsid w:val="007C1091"/>
    <w:rsid w:val="007C3185"/>
    <w:rsid w:val="007C5719"/>
    <w:rsid w:val="007C57C6"/>
    <w:rsid w:val="007C5DCC"/>
    <w:rsid w:val="007C7630"/>
    <w:rsid w:val="007D17F7"/>
    <w:rsid w:val="007D2CC7"/>
    <w:rsid w:val="007D3DF4"/>
    <w:rsid w:val="007D4DA0"/>
    <w:rsid w:val="007E0026"/>
    <w:rsid w:val="007E1586"/>
    <w:rsid w:val="007E30A5"/>
    <w:rsid w:val="007E3F1C"/>
    <w:rsid w:val="007E43B1"/>
    <w:rsid w:val="007E6C7F"/>
    <w:rsid w:val="007F08B8"/>
    <w:rsid w:val="007F0FE9"/>
    <w:rsid w:val="007F13C2"/>
    <w:rsid w:val="007F1479"/>
    <w:rsid w:val="007F4B52"/>
    <w:rsid w:val="007F4D13"/>
    <w:rsid w:val="007F5698"/>
    <w:rsid w:val="007F7BDC"/>
    <w:rsid w:val="007F7E45"/>
    <w:rsid w:val="00801DCC"/>
    <w:rsid w:val="00802BEA"/>
    <w:rsid w:val="008113BC"/>
    <w:rsid w:val="00817016"/>
    <w:rsid w:val="0081783E"/>
    <w:rsid w:val="008227F0"/>
    <w:rsid w:val="00823116"/>
    <w:rsid w:val="00825084"/>
    <w:rsid w:val="008268AE"/>
    <w:rsid w:val="00827C71"/>
    <w:rsid w:val="008337ED"/>
    <w:rsid w:val="008350AE"/>
    <w:rsid w:val="00835875"/>
    <w:rsid w:val="00836782"/>
    <w:rsid w:val="00836BD4"/>
    <w:rsid w:val="0084175B"/>
    <w:rsid w:val="00843A7B"/>
    <w:rsid w:val="00844061"/>
    <w:rsid w:val="0084454A"/>
    <w:rsid w:val="00845380"/>
    <w:rsid w:val="008465FD"/>
    <w:rsid w:val="00847211"/>
    <w:rsid w:val="00850CB2"/>
    <w:rsid w:val="008512D3"/>
    <w:rsid w:val="0085144C"/>
    <w:rsid w:val="008524BB"/>
    <w:rsid w:val="00853C6C"/>
    <w:rsid w:val="008552BF"/>
    <w:rsid w:val="00857E97"/>
    <w:rsid w:val="00861AEF"/>
    <w:rsid w:val="008647D7"/>
    <w:rsid w:val="00866178"/>
    <w:rsid w:val="00866B06"/>
    <w:rsid w:val="00871040"/>
    <w:rsid w:val="0087339E"/>
    <w:rsid w:val="0087488C"/>
    <w:rsid w:val="00874F39"/>
    <w:rsid w:val="008751EF"/>
    <w:rsid w:val="00876078"/>
    <w:rsid w:val="00876226"/>
    <w:rsid w:val="00877962"/>
    <w:rsid w:val="00881CDD"/>
    <w:rsid w:val="008824E3"/>
    <w:rsid w:val="0088347B"/>
    <w:rsid w:val="00885051"/>
    <w:rsid w:val="00885A5B"/>
    <w:rsid w:val="00887E38"/>
    <w:rsid w:val="0089320B"/>
    <w:rsid w:val="0089369E"/>
    <w:rsid w:val="00894F57"/>
    <w:rsid w:val="00896570"/>
    <w:rsid w:val="0089784D"/>
    <w:rsid w:val="008979D2"/>
    <w:rsid w:val="00897A27"/>
    <w:rsid w:val="008A3131"/>
    <w:rsid w:val="008A5014"/>
    <w:rsid w:val="008A7215"/>
    <w:rsid w:val="008B088C"/>
    <w:rsid w:val="008B26CC"/>
    <w:rsid w:val="008B3EE3"/>
    <w:rsid w:val="008B5485"/>
    <w:rsid w:val="008C0D1D"/>
    <w:rsid w:val="008C2658"/>
    <w:rsid w:val="008C2B66"/>
    <w:rsid w:val="008C3723"/>
    <w:rsid w:val="008C4AD7"/>
    <w:rsid w:val="008D0939"/>
    <w:rsid w:val="008D0D1E"/>
    <w:rsid w:val="008D2188"/>
    <w:rsid w:val="008D44C9"/>
    <w:rsid w:val="008D479D"/>
    <w:rsid w:val="008D4D77"/>
    <w:rsid w:val="008D64FD"/>
    <w:rsid w:val="008E31B4"/>
    <w:rsid w:val="008E3659"/>
    <w:rsid w:val="008E3B4F"/>
    <w:rsid w:val="008E60A9"/>
    <w:rsid w:val="008E6F06"/>
    <w:rsid w:val="008E772C"/>
    <w:rsid w:val="008F0306"/>
    <w:rsid w:val="008F2375"/>
    <w:rsid w:val="008F5E27"/>
    <w:rsid w:val="008F7D1C"/>
    <w:rsid w:val="00901690"/>
    <w:rsid w:val="00902A13"/>
    <w:rsid w:val="00902C72"/>
    <w:rsid w:val="009061C3"/>
    <w:rsid w:val="00906EAC"/>
    <w:rsid w:val="009101B0"/>
    <w:rsid w:val="00911EDA"/>
    <w:rsid w:val="00913B84"/>
    <w:rsid w:val="00915337"/>
    <w:rsid w:val="009169D1"/>
    <w:rsid w:val="00917D49"/>
    <w:rsid w:val="009222C5"/>
    <w:rsid w:val="009224C3"/>
    <w:rsid w:val="009252F0"/>
    <w:rsid w:val="00926B30"/>
    <w:rsid w:val="00927F41"/>
    <w:rsid w:val="00930FAD"/>
    <w:rsid w:val="009314AC"/>
    <w:rsid w:val="0093277D"/>
    <w:rsid w:val="00933B6A"/>
    <w:rsid w:val="00934E76"/>
    <w:rsid w:val="00935966"/>
    <w:rsid w:val="00935FBB"/>
    <w:rsid w:val="00936190"/>
    <w:rsid w:val="00936FF8"/>
    <w:rsid w:val="00937DCE"/>
    <w:rsid w:val="00942A85"/>
    <w:rsid w:val="0094321C"/>
    <w:rsid w:val="009441A7"/>
    <w:rsid w:val="009477DF"/>
    <w:rsid w:val="00956EB0"/>
    <w:rsid w:val="00956F6A"/>
    <w:rsid w:val="00961657"/>
    <w:rsid w:val="0096211D"/>
    <w:rsid w:val="009630FA"/>
    <w:rsid w:val="009638E7"/>
    <w:rsid w:val="0096490B"/>
    <w:rsid w:val="00970173"/>
    <w:rsid w:val="0097097B"/>
    <w:rsid w:val="009730A0"/>
    <w:rsid w:val="00973CB0"/>
    <w:rsid w:val="00975E7E"/>
    <w:rsid w:val="009770EA"/>
    <w:rsid w:val="00981010"/>
    <w:rsid w:val="00981EAE"/>
    <w:rsid w:val="00982F05"/>
    <w:rsid w:val="00983E59"/>
    <w:rsid w:val="00983F87"/>
    <w:rsid w:val="0098649D"/>
    <w:rsid w:val="00987FC9"/>
    <w:rsid w:val="00990E53"/>
    <w:rsid w:val="009932C3"/>
    <w:rsid w:val="00995AF7"/>
    <w:rsid w:val="00997459"/>
    <w:rsid w:val="00997828"/>
    <w:rsid w:val="00997F03"/>
    <w:rsid w:val="009A0119"/>
    <w:rsid w:val="009A0BDF"/>
    <w:rsid w:val="009A345F"/>
    <w:rsid w:val="009A4CBD"/>
    <w:rsid w:val="009A5A44"/>
    <w:rsid w:val="009A5E0B"/>
    <w:rsid w:val="009A6C2B"/>
    <w:rsid w:val="009B03C1"/>
    <w:rsid w:val="009B0A2B"/>
    <w:rsid w:val="009B2BFA"/>
    <w:rsid w:val="009B3894"/>
    <w:rsid w:val="009C0475"/>
    <w:rsid w:val="009C157B"/>
    <w:rsid w:val="009C38EA"/>
    <w:rsid w:val="009C3A77"/>
    <w:rsid w:val="009C3AFA"/>
    <w:rsid w:val="009C4387"/>
    <w:rsid w:val="009C582E"/>
    <w:rsid w:val="009C6199"/>
    <w:rsid w:val="009C798F"/>
    <w:rsid w:val="009C7C32"/>
    <w:rsid w:val="009D0B1D"/>
    <w:rsid w:val="009D25D3"/>
    <w:rsid w:val="009D4594"/>
    <w:rsid w:val="009D498B"/>
    <w:rsid w:val="009D5A4C"/>
    <w:rsid w:val="009D65FF"/>
    <w:rsid w:val="009D6CBC"/>
    <w:rsid w:val="009D7964"/>
    <w:rsid w:val="009E3DEF"/>
    <w:rsid w:val="009E3FAD"/>
    <w:rsid w:val="009E5A4C"/>
    <w:rsid w:val="009E63AA"/>
    <w:rsid w:val="009E6530"/>
    <w:rsid w:val="009F0BA0"/>
    <w:rsid w:val="009F226D"/>
    <w:rsid w:val="009F2A66"/>
    <w:rsid w:val="009F471E"/>
    <w:rsid w:val="009F4727"/>
    <w:rsid w:val="009F6144"/>
    <w:rsid w:val="009F75FB"/>
    <w:rsid w:val="009F7BD4"/>
    <w:rsid w:val="00A01287"/>
    <w:rsid w:val="00A03144"/>
    <w:rsid w:val="00A05348"/>
    <w:rsid w:val="00A0611D"/>
    <w:rsid w:val="00A07EF6"/>
    <w:rsid w:val="00A11465"/>
    <w:rsid w:val="00A13A86"/>
    <w:rsid w:val="00A14478"/>
    <w:rsid w:val="00A148F6"/>
    <w:rsid w:val="00A251D5"/>
    <w:rsid w:val="00A25306"/>
    <w:rsid w:val="00A253AC"/>
    <w:rsid w:val="00A31D8C"/>
    <w:rsid w:val="00A335BA"/>
    <w:rsid w:val="00A36799"/>
    <w:rsid w:val="00A4098A"/>
    <w:rsid w:val="00A41E7A"/>
    <w:rsid w:val="00A42050"/>
    <w:rsid w:val="00A420EC"/>
    <w:rsid w:val="00A43AAE"/>
    <w:rsid w:val="00A44C67"/>
    <w:rsid w:val="00A45DB3"/>
    <w:rsid w:val="00A47BB5"/>
    <w:rsid w:val="00A52103"/>
    <w:rsid w:val="00A5662B"/>
    <w:rsid w:val="00A6102B"/>
    <w:rsid w:val="00A61EA8"/>
    <w:rsid w:val="00A648CA"/>
    <w:rsid w:val="00A65E35"/>
    <w:rsid w:val="00A674AD"/>
    <w:rsid w:val="00A705EA"/>
    <w:rsid w:val="00A70A20"/>
    <w:rsid w:val="00A71A21"/>
    <w:rsid w:val="00A73A18"/>
    <w:rsid w:val="00A73E96"/>
    <w:rsid w:val="00A813A6"/>
    <w:rsid w:val="00A8333C"/>
    <w:rsid w:val="00A84161"/>
    <w:rsid w:val="00A8542B"/>
    <w:rsid w:val="00A865BB"/>
    <w:rsid w:val="00A90024"/>
    <w:rsid w:val="00A91C54"/>
    <w:rsid w:val="00A939C9"/>
    <w:rsid w:val="00A93EC9"/>
    <w:rsid w:val="00A952F1"/>
    <w:rsid w:val="00A95454"/>
    <w:rsid w:val="00A967A4"/>
    <w:rsid w:val="00A976E6"/>
    <w:rsid w:val="00A97CAE"/>
    <w:rsid w:val="00AA351D"/>
    <w:rsid w:val="00AA41AD"/>
    <w:rsid w:val="00AA7DC8"/>
    <w:rsid w:val="00AB0105"/>
    <w:rsid w:val="00AB1955"/>
    <w:rsid w:val="00AB24FD"/>
    <w:rsid w:val="00AB4E4A"/>
    <w:rsid w:val="00AB53CA"/>
    <w:rsid w:val="00AB6B23"/>
    <w:rsid w:val="00AC0379"/>
    <w:rsid w:val="00AC1432"/>
    <w:rsid w:val="00AC35CC"/>
    <w:rsid w:val="00AC41DB"/>
    <w:rsid w:val="00AC5CC2"/>
    <w:rsid w:val="00AC69D7"/>
    <w:rsid w:val="00AD08FA"/>
    <w:rsid w:val="00AD0C4E"/>
    <w:rsid w:val="00AD12D5"/>
    <w:rsid w:val="00AD159C"/>
    <w:rsid w:val="00AD1FDA"/>
    <w:rsid w:val="00AD26FE"/>
    <w:rsid w:val="00AD3418"/>
    <w:rsid w:val="00AD4B75"/>
    <w:rsid w:val="00AD4C65"/>
    <w:rsid w:val="00AD6DE7"/>
    <w:rsid w:val="00AD7259"/>
    <w:rsid w:val="00AD75A9"/>
    <w:rsid w:val="00AE31CE"/>
    <w:rsid w:val="00AE4F69"/>
    <w:rsid w:val="00AE6746"/>
    <w:rsid w:val="00AE741D"/>
    <w:rsid w:val="00AE7D96"/>
    <w:rsid w:val="00AE7EF0"/>
    <w:rsid w:val="00AF1659"/>
    <w:rsid w:val="00AF16B9"/>
    <w:rsid w:val="00AF34C3"/>
    <w:rsid w:val="00AF384E"/>
    <w:rsid w:val="00AF3C1B"/>
    <w:rsid w:val="00B00859"/>
    <w:rsid w:val="00B03503"/>
    <w:rsid w:val="00B04A8C"/>
    <w:rsid w:val="00B07339"/>
    <w:rsid w:val="00B11A5A"/>
    <w:rsid w:val="00B12300"/>
    <w:rsid w:val="00B12850"/>
    <w:rsid w:val="00B12F1D"/>
    <w:rsid w:val="00B1472B"/>
    <w:rsid w:val="00B165AC"/>
    <w:rsid w:val="00B246CE"/>
    <w:rsid w:val="00B25003"/>
    <w:rsid w:val="00B25E49"/>
    <w:rsid w:val="00B26740"/>
    <w:rsid w:val="00B30C40"/>
    <w:rsid w:val="00B30D07"/>
    <w:rsid w:val="00B351E8"/>
    <w:rsid w:val="00B3552A"/>
    <w:rsid w:val="00B3597B"/>
    <w:rsid w:val="00B36CFE"/>
    <w:rsid w:val="00B36E3B"/>
    <w:rsid w:val="00B36EA2"/>
    <w:rsid w:val="00B37B11"/>
    <w:rsid w:val="00B37EBE"/>
    <w:rsid w:val="00B4095B"/>
    <w:rsid w:val="00B40AE7"/>
    <w:rsid w:val="00B41983"/>
    <w:rsid w:val="00B421F7"/>
    <w:rsid w:val="00B4337D"/>
    <w:rsid w:val="00B43963"/>
    <w:rsid w:val="00B43A71"/>
    <w:rsid w:val="00B44856"/>
    <w:rsid w:val="00B47563"/>
    <w:rsid w:val="00B51D85"/>
    <w:rsid w:val="00B523F7"/>
    <w:rsid w:val="00B533D2"/>
    <w:rsid w:val="00B53DBD"/>
    <w:rsid w:val="00B548AF"/>
    <w:rsid w:val="00B54FD1"/>
    <w:rsid w:val="00B638C0"/>
    <w:rsid w:val="00B63AAF"/>
    <w:rsid w:val="00B647E3"/>
    <w:rsid w:val="00B650BC"/>
    <w:rsid w:val="00B6511D"/>
    <w:rsid w:val="00B666FC"/>
    <w:rsid w:val="00B66E35"/>
    <w:rsid w:val="00B677D0"/>
    <w:rsid w:val="00B67E22"/>
    <w:rsid w:val="00B70174"/>
    <w:rsid w:val="00B7019F"/>
    <w:rsid w:val="00B720B3"/>
    <w:rsid w:val="00B72A06"/>
    <w:rsid w:val="00B73A56"/>
    <w:rsid w:val="00B73C2D"/>
    <w:rsid w:val="00B74F7A"/>
    <w:rsid w:val="00B75CD2"/>
    <w:rsid w:val="00B7694F"/>
    <w:rsid w:val="00B76AA2"/>
    <w:rsid w:val="00B76DDA"/>
    <w:rsid w:val="00B77665"/>
    <w:rsid w:val="00B77DEA"/>
    <w:rsid w:val="00B8068F"/>
    <w:rsid w:val="00B82A2B"/>
    <w:rsid w:val="00B8337F"/>
    <w:rsid w:val="00B837F2"/>
    <w:rsid w:val="00B8404F"/>
    <w:rsid w:val="00B868AA"/>
    <w:rsid w:val="00B86998"/>
    <w:rsid w:val="00B86C0C"/>
    <w:rsid w:val="00B875CD"/>
    <w:rsid w:val="00B90512"/>
    <w:rsid w:val="00B90ED6"/>
    <w:rsid w:val="00B918E5"/>
    <w:rsid w:val="00B9203E"/>
    <w:rsid w:val="00B9329B"/>
    <w:rsid w:val="00B9370F"/>
    <w:rsid w:val="00B96A47"/>
    <w:rsid w:val="00B9741A"/>
    <w:rsid w:val="00BA4A49"/>
    <w:rsid w:val="00BA52DA"/>
    <w:rsid w:val="00BA5A01"/>
    <w:rsid w:val="00BA69B1"/>
    <w:rsid w:val="00BB0867"/>
    <w:rsid w:val="00BB089B"/>
    <w:rsid w:val="00BB0F37"/>
    <w:rsid w:val="00BB24B0"/>
    <w:rsid w:val="00BB2F9A"/>
    <w:rsid w:val="00BB495C"/>
    <w:rsid w:val="00BB5B91"/>
    <w:rsid w:val="00BB5C08"/>
    <w:rsid w:val="00BB7550"/>
    <w:rsid w:val="00BB7ECF"/>
    <w:rsid w:val="00BC1831"/>
    <w:rsid w:val="00BC23DA"/>
    <w:rsid w:val="00BC49E6"/>
    <w:rsid w:val="00BC5042"/>
    <w:rsid w:val="00BC79E0"/>
    <w:rsid w:val="00BC7C76"/>
    <w:rsid w:val="00BD0261"/>
    <w:rsid w:val="00BD103D"/>
    <w:rsid w:val="00BD5A68"/>
    <w:rsid w:val="00BD7672"/>
    <w:rsid w:val="00BE03CF"/>
    <w:rsid w:val="00BE1CB3"/>
    <w:rsid w:val="00BE2DC6"/>
    <w:rsid w:val="00BE315B"/>
    <w:rsid w:val="00BE39DB"/>
    <w:rsid w:val="00BE4904"/>
    <w:rsid w:val="00BE4C00"/>
    <w:rsid w:val="00BF01B5"/>
    <w:rsid w:val="00BF0202"/>
    <w:rsid w:val="00BF1173"/>
    <w:rsid w:val="00BF1F0B"/>
    <w:rsid w:val="00BF2946"/>
    <w:rsid w:val="00BF358D"/>
    <w:rsid w:val="00BF3ABD"/>
    <w:rsid w:val="00BF5079"/>
    <w:rsid w:val="00BF67F5"/>
    <w:rsid w:val="00C00071"/>
    <w:rsid w:val="00C04384"/>
    <w:rsid w:val="00C04700"/>
    <w:rsid w:val="00C053DE"/>
    <w:rsid w:val="00C0620C"/>
    <w:rsid w:val="00C07AAD"/>
    <w:rsid w:val="00C10734"/>
    <w:rsid w:val="00C11156"/>
    <w:rsid w:val="00C14F3D"/>
    <w:rsid w:val="00C15069"/>
    <w:rsid w:val="00C16D13"/>
    <w:rsid w:val="00C2269F"/>
    <w:rsid w:val="00C24CEF"/>
    <w:rsid w:val="00C2547E"/>
    <w:rsid w:val="00C25C77"/>
    <w:rsid w:val="00C26130"/>
    <w:rsid w:val="00C26B8E"/>
    <w:rsid w:val="00C2787F"/>
    <w:rsid w:val="00C40686"/>
    <w:rsid w:val="00C43BDA"/>
    <w:rsid w:val="00C44DB3"/>
    <w:rsid w:val="00C46283"/>
    <w:rsid w:val="00C46DAC"/>
    <w:rsid w:val="00C47121"/>
    <w:rsid w:val="00C50003"/>
    <w:rsid w:val="00C51197"/>
    <w:rsid w:val="00C52661"/>
    <w:rsid w:val="00C535F2"/>
    <w:rsid w:val="00C53B0D"/>
    <w:rsid w:val="00C53B53"/>
    <w:rsid w:val="00C611CE"/>
    <w:rsid w:val="00C621A6"/>
    <w:rsid w:val="00C657B9"/>
    <w:rsid w:val="00C669AB"/>
    <w:rsid w:val="00C704D6"/>
    <w:rsid w:val="00C763C9"/>
    <w:rsid w:val="00C765DB"/>
    <w:rsid w:val="00C8009D"/>
    <w:rsid w:val="00C81078"/>
    <w:rsid w:val="00C85547"/>
    <w:rsid w:val="00C873DA"/>
    <w:rsid w:val="00C921B3"/>
    <w:rsid w:val="00CA14A5"/>
    <w:rsid w:val="00CA22E3"/>
    <w:rsid w:val="00CA2B14"/>
    <w:rsid w:val="00CA2C10"/>
    <w:rsid w:val="00CA2FB3"/>
    <w:rsid w:val="00CA4602"/>
    <w:rsid w:val="00CA5501"/>
    <w:rsid w:val="00CA5B9C"/>
    <w:rsid w:val="00CB15EB"/>
    <w:rsid w:val="00CB51D8"/>
    <w:rsid w:val="00CB5A98"/>
    <w:rsid w:val="00CB74D2"/>
    <w:rsid w:val="00CB7749"/>
    <w:rsid w:val="00CB77AB"/>
    <w:rsid w:val="00CC0456"/>
    <w:rsid w:val="00CC2129"/>
    <w:rsid w:val="00CC54A7"/>
    <w:rsid w:val="00CD0A25"/>
    <w:rsid w:val="00CD327B"/>
    <w:rsid w:val="00CD3E84"/>
    <w:rsid w:val="00CD4271"/>
    <w:rsid w:val="00CD4FC2"/>
    <w:rsid w:val="00CD6DBE"/>
    <w:rsid w:val="00CE00A0"/>
    <w:rsid w:val="00CE0C93"/>
    <w:rsid w:val="00CE3CA8"/>
    <w:rsid w:val="00CE63AA"/>
    <w:rsid w:val="00CE6484"/>
    <w:rsid w:val="00CE66CB"/>
    <w:rsid w:val="00CE6DE6"/>
    <w:rsid w:val="00CE6ECA"/>
    <w:rsid w:val="00CF068D"/>
    <w:rsid w:val="00CF09E3"/>
    <w:rsid w:val="00CF7620"/>
    <w:rsid w:val="00D00AD5"/>
    <w:rsid w:val="00D0201B"/>
    <w:rsid w:val="00D029E0"/>
    <w:rsid w:val="00D056DB"/>
    <w:rsid w:val="00D065C2"/>
    <w:rsid w:val="00D07DE9"/>
    <w:rsid w:val="00D13A05"/>
    <w:rsid w:val="00D14E1B"/>
    <w:rsid w:val="00D201A6"/>
    <w:rsid w:val="00D2030E"/>
    <w:rsid w:val="00D21637"/>
    <w:rsid w:val="00D21757"/>
    <w:rsid w:val="00D21D55"/>
    <w:rsid w:val="00D22D7C"/>
    <w:rsid w:val="00D23277"/>
    <w:rsid w:val="00D2338E"/>
    <w:rsid w:val="00D279B2"/>
    <w:rsid w:val="00D27FFB"/>
    <w:rsid w:val="00D303C9"/>
    <w:rsid w:val="00D32412"/>
    <w:rsid w:val="00D3268F"/>
    <w:rsid w:val="00D32C31"/>
    <w:rsid w:val="00D33958"/>
    <w:rsid w:val="00D35AEC"/>
    <w:rsid w:val="00D36530"/>
    <w:rsid w:val="00D42AE5"/>
    <w:rsid w:val="00D4728D"/>
    <w:rsid w:val="00D478C5"/>
    <w:rsid w:val="00D5208A"/>
    <w:rsid w:val="00D5420B"/>
    <w:rsid w:val="00D55103"/>
    <w:rsid w:val="00D5599E"/>
    <w:rsid w:val="00D61754"/>
    <w:rsid w:val="00D619B9"/>
    <w:rsid w:val="00D628A1"/>
    <w:rsid w:val="00D638BB"/>
    <w:rsid w:val="00D66D65"/>
    <w:rsid w:val="00D72708"/>
    <w:rsid w:val="00D7388C"/>
    <w:rsid w:val="00D743CA"/>
    <w:rsid w:val="00D7481B"/>
    <w:rsid w:val="00D74FB8"/>
    <w:rsid w:val="00D76797"/>
    <w:rsid w:val="00D7757A"/>
    <w:rsid w:val="00D801FD"/>
    <w:rsid w:val="00D82792"/>
    <w:rsid w:val="00D82DD6"/>
    <w:rsid w:val="00D91879"/>
    <w:rsid w:val="00D953A3"/>
    <w:rsid w:val="00D962E4"/>
    <w:rsid w:val="00DA5E37"/>
    <w:rsid w:val="00DA77C4"/>
    <w:rsid w:val="00DB0EEE"/>
    <w:rsid w:val="00DB1A8C"/>
    <w:rsid w:val="00DC2F5A"/>
    <w:rsid w:val="00DC3240"/>
    <w:rsid w:val="00DC3754"/>
    <w:rsid w:val="00DC3E32"/>
    <w:rsid w:val="00DC3F5F"/>
    <w:rsid w:val="00DC66DC"/>
    <w:rsid w:val="00DD3C5E"/>
    <w:rsid w:val="00DD5A2E"/>
    <w:rsid w:val="00DD60AF"/>
    <w:rsid w:val="00DD6D62"/>
    <w:rsid w:val="00DE02DD"/>
    <w:rsid w:val="00DE059F"/>
    <w:rsid w:val="00DE062A"/>
    <w:rsid w:val="00DE22FE"/>
    <w:rsid w:val="00DE43A2"/>
    <w:rsid w:val="00DE6072"/>
    <w:rsid w:val="00DF089B"/>
    <w:rsid w:val="00DF0992"/>
    <w:rsid w:val="00DF168E"/>
    <w:rsid w:val="00DF35FA"/>
    <w:rsid w:val="00DF3C57"/>
    <w:rsid w:val="00DF54D7"/>
    <w:rsid w:val="00DF6086"/>
    <w:rsid w:val="00DF629F"/>
    <w:rsid w:val="00DF65CD"/>
    <w:rsid w:val="00DF6949"/>
    <w:rsid w:val="00E01470"/>
    <w:rsid w:val="00E019DA"/>
    <w:rsid w:val="00E04400"/>
    <w:rsid w:val="00E05266"/>
    <w:rsid w:val="00E07FDC"/>
    <w:rsid w:val="00E115E7"/>
    <w:rsid w:val="00E1305E"/>
    <w:rsid w:val="00E144FC"/>
    <w:rsid w:val="00E20FFC"/>
    <w:rsid w:val="00E219CB"/>
    <w:rsid w:val="00E2254D"/>
    <w:rsid w:val="00E22B49"/>
    <w:rsid w:val="00E2309F"/>
    <w:rsid w:val="00E24254"/>
    <w:rsid w:val="00E245A0"/>
    <w:rsid w:val="00E24A06"/>
    <w:rsid w:val="00E24BAE"/>
    <w:rsid w:val="00E24F8B"/>
    <w:rsid w:val="00E3249E"/>
    <w:rsid w:val="00E36089"/>
    <w:rsid w:val="00E363A3"/>
    <w:rsid w:val="00E37187"/>
    <w:rsid w:val="00E40F24"/>
    <w:rsid w:val="00E417F1"/>
    <w:rsid w:val="00E428CA"/>
    <w:rsid w:val="00E43021"/>
    <w:rsid w:val="00E44C24"/>
    <w:rsid w:val="00E45921"/>
    <w:rsid w:val="00E4664D"/>
    <w:rsid w:val="00E471C8"/>
    <w:rsid w:val="00E47729"/>
    <w:rsid w:val="00E47996"/>
    <w:rsid w:val="00E47C09"/>
    <w:rsid w:val="00E50961"/>
    <w:rsid w:val="00E52237"/>
    <w:rsid w:val="00E522C1"/>
    <w:rsid w:val="00E53293"/>
    <w:rsid w:val="00E5364F"/>
    <w:rsid w:val="00E53F37"/>
    <w:rsid w:val="00E54636"/>
    <w:rsid w:val="00E5469A"/>
    <w:rsid w:val="00E559AC"/>
    <w:rsid w:val="00E55DE9"/>
    <w:rsid w:val="00E563CB"/>
    <w:rsid w:val="00E57E29"/>
    <w:rsid w:val="00E611BC"/>
    <w:rsid w:val="00E61301"/>
    <w:rsid w:val="00E61B01"/>
    <w:rsid w:val="00E70DBB"/>
    <w:rsid w:val="00E730ED"/>
    <w:rsid w:val="00E73339"/>
    <w:rsid w:val="00E76938"/>
    <w:rsid w:val="00E82389"/>
    <w:rsid w:val="00E82F95"/>
    <w:rsid w:val="00E83CF8"/>
    <w:rsid w:val="00E84082"/>
    <w:rsid w:val="00E846DA"/>
    <w:rsid w:val="00E85AF4"/>
    <w:rsid w:val="00E925CF"/>
    <w:rsid w:val="00E92F53"/>
    <w:rsid w:val="00E94D51"/>
    <w:rsid w:val="00E9681B"/>
    <w:rsid w:val="00E97236"/>
    <w:rsid w:val="00EA12D4"/>
    <w:rsid w:val="00EA4AAE"/>
    <w:rsid w:val="00EA64C3"/>
    <w:rsid w:val="00EA77C2"/>
    <w:rsid w:val="00EB03EA"/>
    <w:rsid w:val="00EB149C"/>
    <w:rsid w:val="00EB1F57"/>
    <w:rsid w:val="00EB623D"/>
    <w:rsid w:val="00EC1F36"/>
    <w:rsid w:val="00EC2586"/>
    <w:rsid w:val="00EC2986"/>
    <w:rsid w:val="00EC4835"/>
    <w:rsid w:val="00EC5D98"/>
    <w:rsid w:val="00EC6F27"/>
    <w:rsid w:val="00ED0680"/>
    <w:rsid w:val="00ED566D"/>
    <w:rsid w:val="00ED7E61"/>
    <w:rsid w:val="00EE0C7F"/>
    <w:rsid w:val="00EE18B6"/>
    <w:rsid w:val="00EE28D4"/>
    <w:rsid w:val="00EE29A8"/>
    <w:rsid w:val="00EE487D"/>
    <w:rsid w:val="00EF0279"/>
    <w:rsid w:val="00EF108A"/>
    <w:rsid w:val="00EF1200"/>
    <w:rsid w:val="00EF229F"/>
    <w:rsid w:val="00EF7D44"/>
    <w:rsid w:val="00F009D1"/>
    <w:rsid w:val="00F010C3"/>
    <w:rsid w:val="00F03C7F"/>
    <w:rsid w:val="00F044CD"/>
    <w:rsid w:val="00F04B42"/>
    <w:rsid w:val="00F062EA"/>
    <w:rsid w:val="00F07944"/>
    <w:rsid w:val="00F1103B"/>
    <w:rsid w:val="00F11531"/>
    <w:rsid w:val="00F12F42"/>
    <w:rsid w:val="00F132AF"/>
    <w:rsid w:val="00F13E2D"/>
    <w:rsid w:val="00F14D4B"/>
    <w:rsid w:val="00F17CB7"/>
    <w:rsid w:val="00F2114B"/>
    <w:rsid w:val="00F22249"/>
    <w:rsid w:val="00F25223"/>
    <w:rsid w:val="00F252DF"/>
    <w:rsid w:val="00F25454"/>
    <w:rsid w:val="00F26E70"/>
    <w:rsid w:val="00F26FE4"/>
    <w:rsid w:val="00F276DC"/>
    <w:rsid w:val="00F2775D"/>
    <w:rsid w:val="00F318D5"/>
    <w:rsid w:val="00F32ACB"/>
    <w:rsid w:val="00F32E84"/>
    <w:rsid w:val="00F33CB5"/>
    <w:rsid w:val="00F343CE"/>
    <w:rsid w:val="00F35207"/>
    <w:rsid w:val="00F402E4"/>
    <w:rsid w:val="00F43943"/>
    <w:rsid w:val="00F449E6"/>
    <w:rsid w:val="00F50018"/>
    <w:rsid w:val="00F5394E"/>
    <w:rsid w:val="00F53A78"/>
    <w:rsid w:val="00F551C3"/>
    <w:rsid w:val="00F55599"/>
    <w:rsid w:val="00F5667F"/>
    <w:rsid w:val="00F6085A"/>
    <w:rsid w:val="00F6134B"/>
    <w:rsid w:val="00F625F4"/>
    <w:rsid w:val="00F63670"/>
    <w:rsid w:val="00F65DA1"/>
    <w:rsid w:val="00F662A7"/>
    <w:rsid w:val="00F66308"/>
    <w:rsid w:val="00F66A9F"/>
    <w:rsid w:val="00F67A60"/>
    <w:rsid w:val="00F71EAE"/>
    <w:rsid w:val="00F7448E"/>
    <w:rsid w:val="00F8080D"/>
    <w:rsid w:val="00F8179F"/>
    <w:rsid w:val="00F838BB"/>
    <w:rsid w:val="00F842E6"/>
    <w:rsid w:val="00F84A92"/>
    <w:rsid w:val="00F84AD0"/>
    <w:rsid w:val="00F86D0A"/>
    <w:rsid w:val="00F913D5"/>
    <w:rsid w:val="00F942C2"/>
    <w:rsid w:val="00F94D5C"/>
    <w:rsid w:val="00F9650B"/>
    <w:rsid w:val="00FA33DF"/>
    <w:rsid w:val="00FA3FEF"/>
    <w:rsid w:val="00FA580C"/>
    <w:rsid w:val="00FA6174"/>
    <w:rsid w:val="00FB08BB"/>
    <w:rsid w:val="00FB15AC"/>
    <w:rsid w:val="00FB167F"/>
    <w:rsid w:val="00FB2CD9"/>
    <w:rsid w:val="00FB5229"/>
    <w:rsid w:val="00FB65F3"/>
    <w:rsid w:val="00FB7C44"/>
    <w:rsid w:val="00FC094C"/>
    <w:rsid w:val="00FC1CE1"/>
    <w:rsid w:val="00FC3D5E"/>
    <w:rsid w:val="00FC592F"/>
    <w:rsid w:val="00FC795D"/>
    <w:rsid w:val="00FC7F88"/>
    <w:rsid w:val="00FD0087"/>
    <w:rsid w:val="00FD32C3"/>
    <w:rsid w:val="00FD3470"/>
    <w:rsid w:val="00FD4A13"/>
    <w:rsid w:val="00FD69BF"/>
    <w:rsid w:val="00FE174A"/>
    <w:rsid w:val="00FE476A"/>
    <w:rsid w:val="00FE4922"/>
    <w:rsid w:val="00FE7534"/>
    <w:rsid w:val="00FE7AB1"/>
    <w:rsid w:val="00FF0873"/>
    <w:rsid w:val="00FF23C4"/>
    <w:rsid w:val="00FF435C"/>
    <w:rsid w:val="00FF5BFC"/>
    <w:rsid w:val="00FF67D9"/>
    <w:rsid w:val="00FF6BA8"/>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7F56"/>
  <w15:docId w15:val="{A7535233-366C-4EAA-8731-FB1760A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C0C"/>
    <w:rPr>
      <w:sz w:val="24"/>
      <w:szCs w:val="24"/>
    </w:rPr>
  </w:style>
  <w:style w:type="paragraph" w:styleId="Titre1">
    <w:name w:val="heading 1"/>
    <w:basedOn w:val="Normal"/>
    <w:next w:val="Normal"/>
    <w:link w:val="Titre1Car"/>
    <w:uiPriority w:val="9"/>
    <w:qFormat/>
    <w:rsid w:val="00F9650B"/>
    <w:pPr>
      <w:pBdr>
        <w:bottom w:val="single" w:sz="4" w:space="1" w:color="000080"/>
      </w:pBdr>
      <w:outlineLvl w:val="0"/>
    </w:pPr>
    <w:rPr>
      <w:rFonts w:ascii="Verdana" w:hAnsi="Verdana" w:cs="Arial"/>
      <w:b/>
      <w:bCs/>
      <w:smallCaps/>
      <w:color w:val="000080"/>
      <w:kern w:val="32"/>
    </w:rPr>
  </w:style>
  <w:style w:type="paragraph" w:styleId="Titre2">
    <w:name w:val="heading 2"/>
    <w:basedOn w:val="Normal"/>
    <w:next w:val="Normal"/>
    <w:link w:val="Titre2Car"/>
    <w:uiPriority w:val="9"/>
    <w:qFormat/>
    <w:rsid w:val="00F9650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F9650B"/>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E428C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Titre5">
    <w:name w:val="heading 5"/>
    <w:basedOn w:val="Normal"/>
    <w:next w:val="Normal"/>
    <w:link w:val="Titre5Car"/>
    <w:uiPriority w:val="9"/>
    <w:qFormat/>
    <w:rsid w:val="00CA22E3"/>
    <w:pPr>
      <w:spacing w:before="240" w:after="60"/>
      <w:outlineLvl w:val="4"/>
    </w:pPr>
    <w:rPr>
      <w:b/>
      <w:bCs/>
      <w:i/>
      <w:iCs/>
      <w:sz w:val="26"/>
      <w:szCs w:val="26"/>
    </w:rPr>
  </w:style>
  <w:style w:type="paragraph" w:styleId="Titre6">
    <w:name w:val="heading 6"/>
    <w:basedOn w:val="Normal"/>
    <w:next w:val="Normal"/>
    <w:link w:val="Titre6Car"/>
    <w:semiHidden/>
    <w:unhideWhenUsed/>
    <w:qFormat/>
    <w:rsid w:val="0012341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1234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9650B"/>
    <w:pPr>
      <w:tabs>
        <w:tab w:val="center" w:pos="4536"/>
        <w:tab w:val="right" w:pos="9072"/>
      </w:tabs>
    </w:pPr>
  </w:style>
  <w:style w:type="character" w:styleId="Numrodepage">
    <w:name w:val="page number"/>
    <w:basedOn w:val="Policepardfaut"/>
    <w:rsid w:val="00F9650B"/>
  </w:style>
  <w:style w:type="paragraph" w:styleId="En-tte">
    <w:name w:val="header"/>
    <w:basedOn w:val="Normal"/>
    <w:link w:val="En-tteCar"/>
    <w:uiPriority w:val="99"/>
    <w:rsid w:val="00F9650B"/>
    <w:pPr>
      <w:tabs>
        <w:tab w:val="center" w:pos="4536"/>
        <w:tab w:val="right" w:pos="9072"/>
      </w:tabs>
    </w:pPr>
  </w:style>
  <w:style w:type="table" w:styleId="Grilledutableau">
    <w:name w:val="Table Grid"/>
    <w:basedOn w:val="TableauNormal"/>
    <w:uiPriority w:val="59"/>
    <w:rsid w:val="00F9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qFormat/>
    <w:rsid w:val="00F9650B"/>
    <w:rPr>
      <w:i/>
      <w:iCs/>
      <w:color w:val="808080"/>
    </w:rPr>
  </w:style>
  <w:style w:type="paragraph" w:customStyle="1" w:styleId="Style1">
    <w:name w:val="Style1"/>
    <w:basedOn w:val="Normal"/>
    <w:link w:val="Style1Car"/>
    <w:rsid w:val="00F9650B"/>
    <w:pPr>
      <w:spacing w:before="240" w:after="240"/>
    </w:pPr>
    <w:rPr>
      <w:rFonts w:ascii="Garamond" w:hAnsi="Garamond"/>
      <w:b/>
      <w:bCs/>
      <w:smallCaps/>
      <w:color w:val="999999"/>
      <w:sz w:val="28"/>
      <w:szCs w:val="32"/>
    </w:rPr>
  </w:style>
  <w:style w:type="paragraph" w:customStyle="1" w:styleId="Style2">
    <w:name w:val="Style2"/>
    <w:basedOn w:val="Normal"/>
    <w:link w:val="Style2Car"/>
    <w:rsid w:val="00F9650B"/>
    <w:pPr>
      <w:jc w:val="both"/>
    </w:pPr>
    <w:rPr>
      <w:rFonts w:ascii="Garamond" w:hAnsi="Garamond"/>
      <w:b/>
      <w:bCs/>
      <w:i/>
      <w:color w:val="000080"/>
    </w:rPr>
  </w:style>
  <w:style w:type="paragraph" w:customStyle="1" w:styleId="Style3">
    <w:name w:val="Style3"/>
    <w:basedOn w:val="Titre1"/>
    <w:link w:val="Style3Car"/>
    <w:rsid w:val="00F9650B"/>
    <w:pPr>
      <w:pBdr>
        <w:bottom w:val="single" w:sz="4" w:space="1" w:color="00437C"/>
      </w:pBdr>
      <w:tabs>
        <w:tab w:val="left" w:pos="8445"/>
      </w:tabs>
    </w:pPr>
    <w:rPr>
      <w:rFonts w:ascii="Garamond" w:hAnsi="Garamond"/>
      <w:color w:val="00437C"/>
    </w:rPr>
  </w:style>
  <w:style w:type="character" w:customStyle="1" w:styleId="Titre1Car">
    <w:name w:val="Titre 1 Car"/>
    <w:basedOn w:val="Policepardfaut"/>
    <w:link w:val="Titre1"/>
    <w:uiPriority w:val="9"/>
    <w:rsid w:val="00F9650B"/>
    <w:rPr>
      <w:rFonts w:ascii="Verdana" w:hAnsi="Verdana" w:cs="Arial"/>
      <w:b/>
      <w:bCs/>
      <w:smallCaps/>
      <w:color w:val="000080"/>
      <w:kern w:val="32"/>
      <w:sz w:val="24"/>
      <w:szCs w:val="24"/>
      <w:lang w:val="fr-FR" w:eastAsia="fr-FR" w:bidi="ar-SA"/>
    </w:rPr>
  </w:style>
  <w:style w:type="character" w:customStyle="1" w:styleId="Style3Car">
    <w:name w:val="Style3 Car"/>
    <w:basedOn w:val="Titre1Car"/>
    <w:link w:val="Style3"/>
    <w:rsid w:val="00F9650B"/>
    <w:rPr>
      <w:rFonts w:ascii="Garamond" w:hAnsi="Garamond" w:cs="Arial"/>
      <w:b/>
      <w:bCs/>
      <w:smallCaps/>
      <w:color w:val="00437C"/>
      <w:kern w:val="32"/>
      <w:sz w:val="24"/>
      <w:szCs w:val="24"/>
      <w:lang w:val="fr-FR" w:eastAsia="fr-FR" w:bidi="ar-SA"/>
    </w:rPr>
  </w:style>
  <w:style w:type="character" w:customStyle="1" w:styleId="Style2Car">
    <w:name w:val="Style2 Car"/>
    <w:basedOn w:val="Policepardfaut"/>
    <w:link w:val="Style2"/>
    <w:rsid w:val="00F9650B"/>
    <w:rPr>
      <w:rFonts w:ascii="Garamond" w:hAnsi="Garamond"/>
      <w:b/>
      <w:bCs/>
      <w:i/>
      <w:color w:val="000080"/>
      <w:sz w:val="24"/>
      <w:szCs w:val="24"/>
      <w:lang w:val="fr-FR" w:eastAsia="fr-FR" w:bidi="ar-SA"/>
    </w:rPr>
  </w:style>
  <w:style w:type="character" w:customStyle="1" w:styleId="Style1Car">
    <w:name w:val="Style1 Car"/>
    <w:basedOn w:val="Policepardfaut"/>
    <w:link w:val="Style1"/>
    <w:rsid w:val="00F9650B"/>
    <w:rPr>
      <w:rFonts w:ascii="Garamond" w:hAnsi="Garamond"/>
      <w:b/>
      <w:bCs/>
      <w:smallCaps/>
      <w:color w:val="999999"/>
      <w:sz w:val="28"/>
      <w:szCs w:val="32"/>
      <w:lang w:val="fr-FR" w:eastAsia="fr-FR" w:bidi="ar-SA"/>
    </w:rPr>
  </w:style>
  <w:style w:type="paragraph" w:styleId="TM1">
    <w:name w:val="toc 1"/>
    <w:basedOn w:val="Normal"/>
    <w:next w:val="Normal"/>
    <w:autoRedefine/>
    <w:uiPriority w:val="39"/>
    <w:rsid w:val="00550C7C"/>
    <w:pPr>
      <w:tabs>
        <w:tab w:val="right" w:leader="dot" w:pos="9062"/>
      </w:tabs>
    </w:pPr>
    <w:rPr>
      <w:rFonts w:ascii="Garamond" w:hAnsi="Garamond"/>
      <w:noProof/>
      <w:color w:val="C0C0C0"/>
      <w:sz w:val="26"/>
      <w:szCs w:val="26"/>
    </w:rPr>
  </w:style>
  <w:style w:type="paragraph" w:styleId="TM2">
    <w:name w:val="toc 2"/>
    <w:basedOn w:val="Normal"/>
    <w:next w:val="Normal"/>
    <w:autoRedefine/>
    <w:uiPriority w:val="39"/>
    <w:rsid w:val="003F1212"/>
    <w:pPr>
      <w:tabs>
        <w:tab w:val="left" w:pos="880"/>
        <w:tab w:val="right" w:leader="dot" w:pos="9338"/>
      </w:tabs>
      <w:ind w:left="240"/>
      <w:jc w:val="both"/>
    </w:pPr>
  </w:style>
  <w:style w:type="character" w:styleId="Lienhypertexte">
    <w:name w:val="Hyperlink"/>
    <w:basedOn w:val="Policepardfaut"/>
    <w:uiPriority w:val="99"/>
    <w:rsid w:val="00F9650B"/>
    <w:rPr>
      <w:color w:val="0000FF"/>
      <w:u w:val="single"/>
    </w:rPr>
  </w:style>
  <w:style w:type="character" w:styleId="Marquedecommentaire">
    <w:name w:val="annotation reference"/>
    <w:basedOn w:val="Policepardfaut"/>
    <w:uiPriority w:val="99"/>
    <w:rsid w:val="009E6530"/>
    <w:rPr>
      <w:sz w:val="16"/>
      <w:szCs w:val="16"/>
    </w:rPr>
  </w:style>
  <w:style w:type="paragraph" w:styleId="Commentaire">
    <w:name w:val="annotation text"/>
    <w:basedOn w:val="Normal"/>
    <w:link w:val="CommentaireCar"/>
    <w:uiPriority w:val="99"/>
    <w:rsid w:val="009E6530"/>
    <w:rPr>
      <w:sz w:val="20"/>
      <w:szCs w:val="20"/>
    </w:rPr>
  </w:style>
  <w:style w:type="paragraph" w:styleId="Objetducommentaire">
    <w:name w:val="annotation subject"/>
    <w:basedOn w:val="Commentaire"/>
    <w:next w:val="Commentaire"/>
    <w:link w:val="ObjetducommentaireCar"/>
    <w:uiPriority w:val="99"/>
    <w:semiHidden/>
    <w:rsid w:val="009E6530"/>
    <w:rPr>
      <w:b/>
      <w:bCs/>
    </w:rPr>
  </w:style>
  <w:style w:type="paragraph" w:styleId="Textedebulles">
    <w:name w:val="Balloon Text"/>
    <w:basedOn w:val="Normal"/>
    <w:link w:val="TextedebullesCar"/>
    <w:uiPriority w:val="99"/>
    <w:semiHidden/>
    <w:rsid w:val="009E6530"/>
    <w:rPr>
      <w:rFonts w:ascii="Tahoma" w:hAnsi="Tahoma" w:cs="Tahoma"/>
      <w:sz w:val="16"/>
      <w:szCs w:val="16"/>
    </w:rPr>
  </w:style>
  <w:style w:type="paragraph" w:styleId="Sansinterligne">
    <w:name w:val="No Spacing"/>
    <w:aliases w:val="Commentaires,Commentaire AGAMA"/>
    <w:uiPriority w:val="1"/>
    <w:qFormat/>
    <w:rsid w:val="00342C3D"/>
    <w:rPr>
      <w:rFonts w:ascii="Calibri" w:eastAsia="Calibri" w:hAnsi="Calibri"/>
      <w:sz w:val="22"/>
      <w:szCs w:val="22"/>
      <w:lang w:eastAsia="en-US"/>
    </w:rPr>
  </w:style>
  <w:style w:type="paragraph" w:styleId="Paragraphedeliste">
    <w:name w:val="List Paragraph"/>
    <w:basedOn w:val="Normal"/>
    <w:link w:val="ParagraphedelisteCar"/>
    <w:uiPriority w:val="34"/>
    <w:qFormat/>
    <w:rsid w:val="00A73E96"/>
    <w:pPr>
      <w:ind w:left="708"/>
    </w:pPr>
  </w:style>
  <w:style w:type="character" w:styleId="Lienhypertextesuivivisit">
    <w:name w:val="FollowedHyperlink"/>
    <w:basedOn w:val="Policepardfaut"/>
    <w:uiPriority w:val="99"/>
    <w:rsid w:val="00484B58"/>
    <w:rPr>
      <w:color w:val="800080"/>
      <w:u w:val="single"/>
    </w:rPr>
  </w:style>
  <w:style w:type="paragraph" w:styleId="Notedebasdepage">
    <w:name w:val="footnote text"/>
    <w:basedOn w:val="Normal"/>
    <w:link w:val="NotedebasdepageCar"/>
    <w:uiPriority w:val="99"/>
    <w:rsid w:val="00847211"/>
    <w:rPr>
      <w:sz w:val="20"/>
      <w:szCs w:val="20"/>
    </w:rPr>
  </w:style>
  <w:style w:type="character" w:customStyle="1" w:styleId="NotedebasdepageCar">
    <w:name w:val="Note de bas de page Car"/>
    <w:basedOn w:val="Policepardfaut"/>
    <w:link w:val="Notedebasdepage"/>
    <w:uiPriority w:val="99"/>
    <w:rsid w:val="00847211"/>
  </w:style>
  <w:style w:type="character" w:styleId="Appelnotedebasdep">
    <w:name w:val="footnote reference"/>
    <w:basedOn w:val="Policepardfaut"/>
    <w:rsid w:val="00847211"/>
    <w:rPr>
      <w:vertAlign w:val="superscript"/>
    </w:rPr>
  </w:style>
  <w:style w:type="character" w:customStyle="1" w:styleId="CommentaireCar">
    <w:name w:val="Commentaire Car"/>
    <w:basedOn w:val="Policepardfaut"/>
    <w:link w:val="Commentaire"/>
    <w:uiPriority w:val="99"/>
    <w:rsid w:val="00CE00A0"/>
  </w:style>
  <w:style w:type="character" w:customStyle="1" w:styleId="Titre5Car">
    <w:name w:val="Titre 5 Car"/>
    <w:basedOn w:val="Policepardfaut"/>
    <w:link w:val="Titre5"/>
    <w:uiPriority w:val="9"/>
    <w:rsid w:val="00CA22E3"/>
    <w:rPr>
      <w:b/>
      <w:bCs/>
      <w:i/>
      <w:iCs/>
      <w:sz w:val="26"/>
      <w:szCs w:val="26"/>
    </w:rPr>
  </w:style>
  <w:style w:type="paragraph" w:customStyle="1" w:styleId="Default">
    <w:name w:val="Default"/>
    <w:rsid w:val="001779B1"/>
    <w:pPr>
      <w:autoSpaceDE w:val="0"/>
      <w:autoSpaceDN w:val="0"/>
      <w:adjustRightInd w:val="0"/>
    </w:pPr>
    <w:rPr>
      <w:color w:val="000000"/>
      <w:sz w:val="24"/>
      <w:szCs w:val="24"/>
    </w:rPr>
  </w:style>
  <w:style w:type="character" w:customStyle="1" w:styleId="A3">
    <w:name w:val="A3"/>
    <w:basedOn w:val="Policepardfaut"/>
    <w:uiPriority w:val="99"/>
    <w:rsid w:val="00FA6174"/>
    <w:rPr>
      <w:rFonts w:ascii="Futura LT" w:hAnsi="Futura LT" w:hint="default"/>
      <w:b/>
      <w:bCs/>
      <w:color w:val="000000"/>
    </w:rPr>
  </w:style>
  <w:style w:type="paragraph" w:customStyle="1" w:styleId="Pa2">
    <w:name w:val="Pa2"/>
    <w:basedOn w:val="Normal"/>
    <w:uiPriority w:val="99"/>
    <w:rsid w:val="00FA6174"/>
    <w:pPr>
      <w:autoSpaceDE w:val="0"/>
      <w:autoSpaceDN w:val="0"/>
      <w:spacing w:line="201" w:lineRule="atLeast"/>
    </w:pPr>
    <w:rPr>
      <w:rFonts w:ascii="Futura LT" w:eastAsiaTheme="minorHAnsi" w:hAnsi="Futura LT"/>
      <w:lang w:eastAsia="en-US"/>
    </w:rPr>
  </w:style>
  <w:style w:type="paragraph" w:customStyle="1" w:styleId="Pa4">
    <w:name w:val="Pa4"/>
    <w:basedOn w:val="Normal"/>
    <w:uiPriority w:val="99"/>
    <w:rsid w:val="00FA6174"/>
    <w:pPr>
      <w:autoSpaceDE w:val="0"/>
      <w:autoSpaceDN w:val="0"/>
      <w:spacing w:line="201" w:lineRule="atLeast"/>
    </w:pPr>
    <w:rPr>
      <w:rFonts w:ascii="Futura LT" w:eastAsiaTheme="minorHAnsi" w:hAnsi="Futura LT"/>
      <w:lang w:eastAsia="en-US"/>
    </w:rPr>
  </w:style>
  <w:style w:type="character" w:customStyle="1" w:styleId="A4">
    <w:name w:val="A4"/>
    <w:basedOn w:val="Policepardfaut"/>
    <w:uiPriority w:val="99"/>
    <w:rsid w:val="00FA6174"/>
    <w:rPr>
      <w:rFonts w:ascii="Futura LT" w:hAnsi="Futura LT" w:hint="default"/>
      <w:b/>
      <w:bCs/>
      <w:color w:val="000000"/>
    </w:rPr>
  </w:style>
  <w:style w:type="character" w:customStyle="1" w:styleId="Titre7Car">
    <w:name w:val="Titre 7 Car"/>
    <w:basedOn w:val="Policepardfaut"/>
    <w:link w:val="Titre7"/>
    <w:semiHidden/>
    <w:rsid w:val="0012341C"/>
    <w:rPr>
      <w:rFonts w:asciiTheme="majorHAnsi" w:eastAsiaTheme="majorEastAsia" w:hAnsiTheme="majorHAnsi" w:cstheme="majorBidi"/>
      <w:i/>
      <w:iCs/>
      <w:color w:val="404040" w:themeColor="text1" w:themeTint="BF"/>
      <w:sz w:val="24"/>
      <w:szCs w:val="24"/>
    </w:rPr>
  </w:style>
  <w:style w:type="paragraph" w:styleId="Sous-titre">
    <w:name w:val="Subtitle"/>
    <w:basedOn w:val="Normal"/>
    <w:next w:val="Normal"/>
    <w:link w:val="Sous-titreCar"/>
    <w:uiPriority w:val="11"/>
    <w:qFormat/>
    <w:rsid w:val="0012341C"/>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ous-titreCar">
    <w:name w:val="Sous-titre Car"/>
    <w:basedOn w:val="Policepardfaut"/>
    <w:link w:val="Sous-titre"/>
    <w:uiPriority w:val="11"/>
    <w:rsid w:val="0012341C"/>
    <w:rPr>
      <w:rFonts w:asciiTheme="minorHAnsi" w:eastAsiaTheme="majorEastAsia" w:hAnsiTheme="minorHAnsi" w:cstheme="majorBidi"/>
      <w:iCs/>
      <w:color w:val="000000" w:themeColor="text1"/>
      <w:spacing w:val="15"/>
      <w:sz w:val="24"/>
      <w:szCs w:val="24"/>
    </w:rPr>
  </w:style>
  <w:style w:type="character" w:customStyle="1" w:styleId="Titre6Car">
    <w:name w:val="Titre 6 Car"/>
    <w:basedOn w:val="Policepardfaut"/>
    <w:link w:val="Titre6"/>
    <w:semiHidden/>
    <w:rsid w:val="0012341C"/>
    <w:rPr>
      <w:rFonts w:asciiTheme="majorHAnsi" w:eastAsiaTheme="majorEastAsia" w:hAnsiTheme="majorHAnsi" w:cstheme="majorBidi"/>
      <w:i/>
      <w:iCs/>
      <w:color w:val="243F60" w:themeColor="accent1" w:themeShade="7F"/>
      <w:sz w:val="24"/>
      <w:szCs w:val="24"/>
    </w:rPr>
  </w:style>
  <w:style w:type="paragraph" w:customStyle="1" w:styleId="Style0">
    <w:name w:val="Style0"/>
    <w:basedOn w:val="Titre"/>
    <w:link w:val="Style0Car"/>
    <w:qFormat/>
    <w:rsid w:val="001B62A4"/>
    <w:pPr>
      <w:pBdr>
        <w:top w:val="single" w:sz="4" w:space="1" w:color="auto"/>
        <w:left w:val="single" w:sz="4" w:space="4" w:color="auto"/>
        <w:bottom w:val="single" w:sz="4" w:space="1" w:color="auto"/>
        <w:right w:val="single" w:sz="4" w:space="4" w:color="auto"/>
      </w:pBdr>
      <w:contextualSpacing w:val="0"/>
      <w:jc w:val="center"/>
    </w:pPr>
    <w:rPr>
      <w:rFonts w:ascii="Garamond" w:hAnsi="Garamond"/>
      <w:b/>
      <w:color w:val="999999"/>
      <w:sz w:val="40"/>
      <w:szCs w:val="40"/>
    </w:rPr>
  </w:style>
  <w:style w:type="character" w:customStyle="1" w:styleId="Style0Car">
    <w:name w:val="Style0 Car"/>
    <w:basedOn w:val="TitreCar"/>
    <w:link w:val="Style0"/>
    <w:rsid w:val="001B62A4"/>
    <w:rPr>
      <w:rFonts w:ascii="Garamond" w:eastAsiaTheme="majorEastAsia" w:hAnsi="Garamond" w:cstheme="majorBidi"/>
      <w:b/>
      <w:color w:val="999999"/>
      <w:spacing w:val="-10"/>
      <w:kern w:val="28"/>
      <w:sz w:val="40"/>
      <w:szCs w:val="40"/>
    </w:rPr>
  </w:style>
  <w:style w:type="paragraph" w:styleId="Titre">
    <w:name w:val="Title"/>
    <w:aliases w:val="Annexe"/>
    <w:basedOn w:val="Normal"/>
    <w:next w:val="Normal"/>
    <w:link w:val="TitreCar"/>
    <w:qFormat/>
    <w:rsid w:val="001B62A4"/>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Annexe Car"/>
    <w:basedOn w:val="Policepardfaut"/>
    <w:link w:val="Titre"/>
    <w:rsid w:val="001B62A4"/>
    <w:rPr>
      <w:rFonts w:asciiTheme="majorHAnsi" w:eastAsiaTheme="majorEastAsia" w:hAnsiTheme="majorHAnsi" w:cstheme="majorBidi"/>
      <w:spacing w:val="-10"/>
      <w:kern w:val="28"/>
      <w:sz w:val="56"/>
      <w:szCs w:val="56"/>
    </w:rPr>
  </w:style>
  <w:style w:type="character" w:styleId="lev">
    <w:name w:val="Strong"/>
    <w:uiPriority w:val="22"/>
    <w:qFormat/>
    <w:rsid w:val="00B72A06"/>
    <w:rPr>
      <w:b/>
      <w:bCs/>
    </w:rPr>
  </w:style>
  <w:style w:type="paragraph" w:styleId="Rvision">
    <w:name w:val="Revision"/>
    <w:hidden/>
    <w:uiPriority w:val="99"/>
    <w:semiHidden/>
    <w:rsid w:val="00AC5CC2"/>
    <w:rPr>
      <w:sz w:val="24"/>
      <w:szCs w:val="24"/>
    </w:rPr>
  </w:style>
  <w:style w:type="paragraph" w:styleId="Corpsdetexte2">
    <w:name w:val="Body Text 2"/>
    <w:basedOn w:val="Normal"/>
    <w:link w:val="Corpsdetexte2Car"/>
    <w:rsid w:val="00AE741D"/>
    <w:pPr>
      <w:overflowPunct w:val="0"/>
      <w:autoSpaceDE w:val="0"/>
      <w:autoSpaceDN w:val="0"/>
      <w:adjustRightInd w:val="0"/>
      <w:jc w:val="both"/>
      <w:textAlignment w:val="baseline"/>
    </w:pPr>
    <w:rPr>
      <w:color w:val="000000"/>
      <w:sz w:val="20"/>
      <w:szCs w:val="20"/>
      <w:lang w:eastAsia="en-US"/>
    </w:rPr>
  </w:style>
  <w:style w:type="character" w:customStyle="1" w:styleId="Corpsdetexte2Car">
    <w:name w:val="Corps de texte 2 Car"/>
    <w:basedOn w:val="Policepardfaut"/>
    <w:link w:val="Corpsdetexte2"/>
    <w:rsid w:val="00AE741D"/>
    <w:rPr>
      <w:color w:val="000000"/>
      <w:lang w:eastAsia="en-US"/>
    </w:rPr>
  </w:style>
  <w:style w:type="character" w:customStyle="1" w:styleId="hps">
    <w:name w:val="hps"/>
    <w:basedOn w:val="Policepardfaut"/>
    <w:rsid w:val="00F63670"/>
  </w:style>
  <w:style w:type="paragraph" w:styleId="NormalWeb">
    <w:name w:val="Normal (Web)"/>
    <w:basedOn w:val="Normal"/>
    <w:uiPriority w:val="99"/>
    <w:unhideWhenUsed/>
    <w:rsid w:val="00065946"/>
    <w:pPr>
      <w:spacing w:before="100" w:beforeAutospacing="1" w:after="100" w:afterAutospacing="1"/>
    </w:pPr>
  </w:style>
  <w:style w:type="character" w:customStyle="1" w:styleId="ParagraphedelisteCar">
    <w:name w:val="Paragraphe de liste Car"/>
    <w:link w:val="Paragraphedeliste"/>
    <w:uiPriority w:val="34"/>
    <w:rsid w:val="007C1091"/>
    <w:rPr>
      <w:sz w:val="24"/>
      <w:szCs w:val="24"/>
    </w:rPr>
  </w:style>
  <w:style w:type="paragraph" w:customStyle="1" w:styleId="T1modleAGAMA">
    <w:name w:val="T1modèleAGAMA"/>
    <w:basedOn w:val="Normal"/>
    <w:qFormat/>
    <w:rsid w:val="007C1091"/>
    <w:pPr>
      <w:numPr>
        <w:numId w:val="1"/>
      </w:numPr>
      <w:pBdr>
        <w:bottom w:val="single" w:sz="4" w:space="1" w:color="auto"/>
      </w:pBdr>
    </w:pPr>
    <w:rPr>
      <w:rFonts w:ascii="Calibri" w:hAnsi="Calibri" w:cs="Tahoma"/>
      <w:b/>
      <w:sz w:val="22"/>
      <w:szCs w:val="26"/>
    </w:rPr>
  </w:style>
  <w:style w:type="paragraph" w:customStyle="1" w:styleId="T2modleAGAMA">
    <w:name w:val="T2modèleAGAMA"/>
    <w:basedOn w:val="Paragraphedeliste"/>
    <w:link w:val="T2modleAGAMACar"/>
    <w:autoRedefine/>
    <w:qFormat/>
    <w:rsid w:val="00DF35FA"/>
    <w:pPr>
      <w:numPr>
        <w:numId w:val="19"/>
      </w:numPr>
      <w:autoSpaceDE w:val="0"/>
      <w:autoSpaceDN w:val="0"/>
      <w:adjustRightInd w:val="0"/>
      <w:contextualSpacing/>
      <w:jc w:val="both"/>
      <w:outlineLvl w:val="1"/>
    </w:pPr>
    <w:rPr>
      <w:rFonts w:ascii="Garamond" w:eastAsiaTheme="minorEastAsia" w:hAnsi="Garamond" w:cstheme="minorBidi"/>
      <w:b/>
    </w:rPr>
  </w:style>
  <w:style w:type="character" w:customStyle="1" w:styleId="T2modleAGAMACar">
    <w:name w:val="T2modèleAGAMA Car"/>
    <w:basedOn w:val="ParagraphedelisteCar"/>
    <w:link w:val="T2modleAGAMA"/>
    <w:rsid w:val="00DF35FA"/>
    <w:rPr>
      <w:rFonts w:ascii="Garamond" w:eastAsiaTheme="minorEastAsia" w:hAnsi="Garamond" w:cstheme="minorBidi"/>
      <w:b/>
      <w:sz w:val="24"/>
      <w:szCs w:val="24"/>
    </w:rPr>
  </w:style>
  <w:style w:type="paragraph" w:customStyle="1" w:styleId="T3modleAGAMA">
    <w:name w:val="T3modèleAGAMA"/>
    <w:basedOn w:val="Paragraphedeliste"/>
    <w:link w:val="T3modleAGAMACar"/>
    <w:autoRedefine/>
    <w:qFormat/>
    <w:rsid w:val="00433157"/>
    <w:pPr>
      <w:numPr>
        <w:numId w:val="2"/>
      </w:numPr>
      <w:autoSpaceDE w:val="0"/>
      <w:autoSpaceDN w:val="0"/>
      <w:adjustRightInd w:val="0"/>
      <w:spacing w:after="200" w:line="276" w:lineRule="auto"/>
      <w:contextualSpacing/>
      <w:jc w:val="both"/>
    </w:pPr>
    <w:rPr>
      <w:rFonts w:ascii="Garamond" w:eastAsiaTheme="minorEastAsia" w:hAnsi="Garamond" w:cstheme="minorBidi"/>
      <w:color w:val="000000" w:themeColor="text1"/>
      <w:u w:val="single"/>
    </w:rPr>
  </w:style>
  <w:style w:type="character" w:customStyle="1" w:styleId="T3modleAGAMACar">
    <w:name w:val="T3modèleAGAMA Car"/>
    <w:basedOn w:val="ParagraphedelisteCar"/>
    <w:link w:val="T3modleAGAMA"/>
    <w:rsid w:val="00433157"/>
    <w:rPr>
      <w:rFonts w:ascii="Garamond" w:eastAsiaTheme="minorEastAsia" w:hAnsi="Garamond" w:cstheme="minorBidi"/>
      <w:color w:val="000000" w:themeColor="text1"/>
      <w:sz w:val="24"/>
      <w:szCs w:val="24"/>
      <w:u w:val="single"/>
    </w:rPr>
  </w:style>
  <w:style w:type="character" w:customStyle="1" w:styleId="Titre4Car">
    <w:name w:val="Titre 4 Car"/>
    <w:basedOn w:val="Policepardfaut"/>
    <w:link w:val="Titre4"/>
    <w:uiPriority w:val="9"/>
    <w:semiHidden/>
    <w:rsid w:val="00E428CA"/>
    <w:rPr>
      <w:rFonts w:asciiTheme="majorHAnsi" w:eastAsiaTheme="majorEastAsia" w:hAnsiTheme="majorHAnsi" w:cstheme="majorBidi"/>
      <w:i/>
      <w:iCs/>
      <w:color w:val="365F91" w:themeColor="accent1" w:themeShade="BF"/>
      <w:sz w:val="22"/>
      <w:szCs w:val="22"/>
    </w:rPr>
  </w:style>
  <w:style w:type="character" w:customStyle="1" w:styleId="Titre2Car">
    <w:name w:val="Titre 2 Car"/>
    <w:basedOn w:val="Policepardfaut"/>
    <w:link w:val="Titre2"/>
    <w:uiPriority w:val="9"/>
    <w:rsid w:val="00E428CA"/>
    <w:rPr>
      <w:rFonts w:ascii="Arial" w:hAnsi="Arial" w:cs="Arial"/>
      <w:b/>
      <w:bCs/>
      <w:i/>
      <w:iCs/>
      <w:sz w:val="28"/>
      <w:szCs w:val="28"/>
    </w:rPr>
  </w:style>
  <w:style w:type="character" w:customStyle="1" w:styleId="Titre3Car">
    <w:name w:val="Titre 3 Car"/>
    <w:basedOn w:val="Policepardfaut"/>
    <w:link w:val="Titre3"/>
    <w:uiPriority w:val="9"/>
    <w:rsid w:val="00E428CA"/>
    <w:rPr>
      <w:rFonts w:ascii="Arial" w:hAnsi="Arial" w:cs="Arial"/>
      <w:b/>
      <w:bCs/>
      <w:sz w:val="26"/>
      <w:szCs w:val="26"/>
    </w:rPr>
  </w:style>
  <w:style w:type="character" w:customStyle="1" w:styleId="En-tteCar">
    <w:name w:val="En-tête Car"/>
    <w:basedOn w:val="Policepardfaut"/>
    <w:link w:val="En-tte"/>
    <w:uiPriority w:val="99"/>
    <w:rsid w:val="00E428CA"/>
    <w:rPr>
      <w:sz w:val="24"/>
      <w:szCs w:val="24"/>
    </w:rPr>
  </w:style>
  <w:style w:type="paragraph" w:styleId="En-ttedetabledesmatires">
    <w:name w:val="TOC Heading"/>
    <w:basedOn w:val="Titre1"/>
    <w:next w:val="Normal"/>
    <w:uiPriority w:val="39"/>
    <w:unhideWhenUsed/>
    <w:qFormat/>
    <w:rsid w:val="00E428CA"/>
    <w:pPr>
      <w:keepNext/>
      <w:keepLines/>
      <w:pBdr>
        <w:bottom w:val="none" w:sz="0" w:space="0" w:color="auto"/>
      </w:pBdr>
      <w:spacing w:before="480" w:line="276" w:lineRule="auto"/>
      <w:outlineLvl w:val="9"/>
    </w:pPr>
    <w:rPr>
      <w:rFonts w:asciiTheme="majorHAnsi" w:eastAsiaTheme="majorEastAsia" w:hAnsiTheme="majorHAnsi" w:cstheme="majorBidi"/>
      <w:smallCaps w:val="0"/>
      <w:color w:val="365F91" w:themeColor="accent1" w:themeShade="BF"/>
      <w:kern w:val="0"/>
      <w:sz w:val="28"/>
      <w:szCs w:val="28"/>
    </w:rPr>
  </w:style>
  <w:style w:type="character" w:customStyle="1" w:styleId="TextedebullesCar">
    <w:name w:val="Texte de bulles Car"/>
    <w:basedOn w:val="Policepardfaut"/>
    <w:link w:val="Textedebulles"/>
    <w:uiPriority w:val="99"/>
    <w:semiHidden/>
    <w:rsid w:val="00E428CA"/>
    <w:rPr>
      <w:rFonts w:ascii="Tahoma" w:hAnsi="Tahoma" w:cs="Tahoma"/>
      <w:sz w:val="16"/>
      <w:szCs w:val="16"/>
    </w:rPr>
  </w:style>
  <w:style w:type="character" w:customStyle="1" w:styleId="apple-converted-space">
    <w:name w:val="apple-converted-space"/>
    <w:basedOn w:val="Policepardfaut"/>
    <w:rsid w:val="00E428CA"/>
  </w:style>
  <w:style w:type="paragraph" w:styleId="TM3">
    <w:name w:val="toc 3"/>
    <w:basedOn w:val="Normal"/>
    <w:next w:val="Normal"/>
    <w:autoRedefine/>
    <w:uiPriority w:val="39"/>
    <w:unhideWhenUsed/>
    <w:rsid w:val="00E428CA"/>
    <w:pPr>
      <w:spacing w:after="100" w:line="276" w:lineRule="auto"/>
      <w:ind w:left="440"/>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E428CA"/>
    <w:rPr>
      <w:sz w:val="24"/>
      <w:szCs w:val="24"/>
    </w:rPr>
  </w:style>
  <w:style w:type="table" w:customStyle="1" w:styleId="Grilledutableau1">
    <w:name w:val="Grille du tableau1"/>
    <w:basedOn w:val="TableauNormal"/>
    <w:next w:val="Grilledutableau"/>
    <w:uiPriority w:val="59"/>
    <w:rsid w:val="00E4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tducommentaireCar">
    <w:name w:val="Objet du commentaire Car"/>
    <w:basedOn w:val="CommentaireCar"/>
    <w:link w:val="Objetducommentaire"/>
    <w:uiPriority w:val="99"/>
    <w:semiHidden/>
    <w:rsid w:val="00E428CA"/>
    <w:rPr>
      <w:b/>
      <w:bCs/>
    </w:rPr>
  </w:style>
  <w:style w:type="character" w:customStyle="1" w:styleId="Date1">
    <w:name w:val="Date1"/>
    <w:rsid w:val="00E428CA"/>
  </w:style>
  <w:style w:type="paragraph" w:styleId="Notedefin">
    <w:name w:val="endnote text"/>
    <w:basedOn w:val="Normal"/>
    <w:link w:val="NotedefinCar"/>
    <w:uiPriority w:val="99"/>
    <w:semiHidden/>
    <w:unhideWhenUsed/>
    <w:rsid w:val="00E428CA"/>
    <w:rPr>
      <w:rFonts w:asciiTheme="minorHAnsi" w:eastAsiaTheme="minorEastAsia" w:hAnsiTheme="minorHAnsi" w:cstheme="minorBidi"/>
      <w:sz w:val="20"/>
      <w:szCs w:val="20"/>
    </w:rPr>
  </w:style>
  <w:style w:type="character" w:customStyle="1" w:styleId="NotedefinCar">
    <w:name w:val="Note de fin Car"/>
    <w:basedOn w:val="Policepardfaut"/>
    <w:link w:val="Notedefin"/>
    <w:uiPriority w:val="99"/>
    <w:semiHidden/>
    <w:rsid w:val="00E428CA"/>
    <w:rPr>
      <w:rFonts w:asciiTheme="minorHAnsi" w:eastAsiaTheme="minorEastAsia" w:hAnsiTheme="minorHAnsi" w:cstheme="minorBidi"/>
    </w:rPr>
  </w:style>
  <w:style w:type="character" w:styleId="Appeldenotedefin">
    <w:name w:val="endnote reference"/>
    <w:basedOn w:val="Policepardfaut"/>
    <w:uiPriority w:val="99"/>
    <w:semiHidden/>
    <w:unhideWhenUsed/>
    <w:rsid w:val="00E428CA"/>
    <w:rPr>
      <w:vertAlign w:val="superscript"/>
    </w:rPr>
  </w:style>
  <w:style w:type="character" w:customStyle="1" w:styleId="titre2-ADVENTCar">
    <w:name w:val="titre 2 - ADVENT Car"/>
    <w:basedOn w:val="Policepardfaut"/>
    <w:link w:val="titre2-ADVENT"/>
    <w:locked/>
    <w:rsid w:val="00E428CA"/>
    <w:rPr>
      <w:rFonts w:ascii="Calibri" w:hAnsi="Calibri"/>
      <w:b/>
      <w:bCs/>
      <w:color w:val="4F81BD" w:themeColor="accent1"/>
      <w:sz w:val="24"/>
      <w:szCs w:val="24"/>
    </w:rPr>
  </w:style>
  <w:style w:type="paragraph" w:customStyle="1" w:styleId="titre2-ADVENT">
    <w:name w:val="titre 2 - ADVENT"/>
    <w:basedOn w:val="Titre2"/>
    <w:link w:val="titre2-ADVENTCar"/>
    <w:qFormat/>
    <w:rsid w:val="00E428CA"/>
    <w:pPr>
      <w:keepLines/>
      <w:numPr>
        <w:numId w:val="3"/>
      </w:numPr>
      <w:spacing w:before="0" w:after="0"/>
      <w:jc w:val="both"/>
    </w:pPr>
    <w:rPr>
      <w:rFonts w:ascii="Calibri" w:hAnsi="Calibri" w:cs="Times New Roman"/>
      <w:i w:val="0"/>
      <w:iCs w:val="0"/>
      <w:color w:val="4F81BD" w:themeColor="accent1"/>
      <w:sz w:val="24"/>
      <w:szCs w:val="24"/>
    </w:rPr>
  </w:style>
  <w:style w:type="character" w:customStyle="1" w:styleId="Date2">
    <w:name w:val="Date2"/>
    <w:basedOn w:val="Policepardfaut"/>
    <w:rsid w:val="00E428CA"/>
  </w:style>
  <w:style w:type="table" w:customStyle="1" w:styleId="Grilledutableau2">
    <w:name w:val="Grille du tableau2"/>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E428C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uiPriority w:val="59"/>
    <w:rsid w:val="00E428C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E428CA"/>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E428CA"/>
    <w:pPr>
      <w:spacing w:after="100" w:line="276" w:lineRule="auto"/>
      <w:ind w:left="880"/>
    </w:pPr>
    <w:rPr>
      <w:rFonts w:asciiTheme="minorHAnsi" w:eastAsiaTheme="minorEastAsia" w:hAnsiTheme="minorHAnsi" w:cstheme="minorBidi"/>
      <w:sz w:val="22"/>
      <w:szCs w:val="22"/>
    </w:rPr>
  </w:style>
  <w:style w:type="paragraph" w:customStyle="1" w:styleId="T4modleAGAMA">
    <w:name w:val="T4modèleAGAMA"/>
    <w:basedOn w:val="Normal"/>
    <w:qFormat/>
    <w:rsid w:val="00E428CA"/>
    <w:pPr>
      <w:numPr>
        <w:numId w:val="4"/>
      </w:numPr>
      <w:spacing w:line="276" w:lineRule="auto"/>
      <w:outlineLvl w:val="3"/>
    </w:pPr>
    <w:rPr>
      <w:rFonts w:asciiTheme="minorHAnsi" w:eastAsiaTheme="minorHAnsi" w:hAnsiTheme="minorHAnsi" w:cstheme="minorBidi"/>
      <w:sz w:val="22"/>
      <w:szCs w:val="22"/>
      <w:u w:val="single"/>
      <w:lang w:eastAsia="en-US"/>
    </w:rPr>
  </w:style>
  <w:style w:type="character" w:customStyle="1" w:styleId="Date3">
    <w:name w:val="Date3"/>
    <w:rsid w:val="00E428CA"/>
  </w:style>
  <w:style w:type="paragraph" w:customStyle="1" w:styleId="T0modleAGAMA">
    <w:name w:val="T0modèleAGAMA"/>
    <w:basedOn w:val="Normal"/>
    <w:link w:val="T0modleAGAMACar"/>
    <w:qFormat/>
    <w:rsid w:val="00E428CA"/>
    <w:pPr>
      <w:spacing w:after="200" w:line="276" w:lineRule="auto"/>
    </w:pPr>
    <w:rPr>
      <w:rFonts w:asciiTheme="minorHAnsi" w:eastAsiaTheme="minorEastAsia" w:hAnsiTheme="minorHAnsi" w:cstheme="minorBidi"/>
      <w:b/>
      <w:color w:val="002060"/>
      <w:sz w:val="28"/>
      <w:szCs w:val="22"/>
    </w:rPr>
  </w:style>
  <w:style w:type="character" w:customStyle="1" w:styleId="T0modleAGAMACar">
    <w:name w:val="T0modèleAGAMA Car"/>
    <w:basedOn w:val="Policepardfaut"/>
    <w:link w:val="T0modleAGAMA"/>
    <w:rsid w:val="00E428CA"/>
    <w:rPr>
      <w:rFonts w:asciiTheme="minorHAnsi" w:eastAsiaTheme="minorEastAsia" w:hAnsiTheme="minorHAnsi" w:cstheme="minorBidi"/>
      <w:b/>
      <w:color w:val="002060"/>
      <w:sz w:val="28"/>
      <w:szCs w:val="22"/>
    </w:rPr>
  </w:style>
  <w:style w:type="paragraph" w:styleId="Corpsdetexte">
    <w:name w:val="Body Text"/>
    <w:basedOn w:val="Normal"/>
    <w:link w:val="CorpsdetexteCar"/>
    <w:semiHidden/>
    <w:unhideWhenUsed/>
    <w:rsid w:val="00853C6C"/>
    <w:pPr>
      <w:spacing w:after="120"/>
    </w:pPr>
  </w:style>
  <w:style w:type="character" w:customStyle="1" w:styleId="CorpsdetexteCar">
    <w:name w:val="Corps de texte Car"/>
    <w:basedOn w:val="Policepardfaut"/>
    <w:link w:val="Corpsdetexte"/>
    <w:semiHidden/>
    <w:rsid w:val="00853C6C"/>
    <w:rPr>
      <w:sz w:val="24"/>
      <w:szCs w:val="24"/>
    </w:rPr>
  </w:style>
  <w:style w:type="table" w:customStyle="1" w:styleId="TableNormal">
    <w:name w:val="Table Normal"/>
    <w:uiPriority w:val="2"/>
    <w:semiHidden/>
    <w:unhideWhenUsed/>
    <w:qFormat/>
    <w:rsid w:val="000434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3484"/>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936">
      <w:bodyDiv w:val="1"/>
      <w:marLeft w:val="0"/>
      <w:marRight w:val="0"/>
      <w:marTop w:val="0"/>
      <w:marBottom w:val="0"/>
      <w:divBdr>
        <w:top w:val="none" w:sz="0" w:space="0" w:color="auto"/>
        <w:left w:val="none" w:sz="0" w:space="0" w:color="auto"/>
        <w:bottom w:val="none" w:sz="0" w:space="0" w:color="auto"/>
        <w:right w:val="none" w:sz="0" w:space="0" w:color="auto"/>
      </w:divBdr>
    </w:div>
    <w:div w:id="261379984">
      <w:bodyDiv w:val="1"/>
      <w:marLeft w:val="0"/>
      <w:marRight w:val="0"/>
      <w:marTop w:val="0"/>
      <w:marBottom w:val="0"/>
      <w:divBdr>
        <w:top w:val="none" w:sz="0" w:space="0" w:color="auto"/>
        <w:left w:val="none" w:sz="0" w:space="0" w:color="auto"/>
        <w:bottom w:val="none" w:sz="0" w:space="0" w:color="auto"/>
        <w:right w:val="none" w:sz="0" w:space="0" w:color="auto"/>
      </w:divBdr>
    </w:div>
    <w:div w:id="776799876">
      <w:bodyDiv w:val="1"/>
      <w:marLeft w:val="0"/>
      <w:marRight w:val="0"/>
      <w:marTop w:val="0"/>
      <w:marBottom w:val="0"/>
      <w:divBdr>
        <w:top w:val="none" w:sz="0" w:space="0" w:color="auto"/>
        <w:left w:val="none" w:sz="0" w:space="0" w:color="auto"/>
        <w:bottom w:val="none" w:sz="0" w:space="0" w:color="auto"/>
        <w:right w:val="none" w:sz="0" w:space="0" w:color="auto"/>
      </w:divBdr>
    </w:div>
    <w:div w:id="829057717">
      <w:bodyDiv w:val="1"/>
      <w:marLeft w:val="0"/>
      <w:marRight w:val="0"/>
      <w:marTop w:val="0"/>
      <w:marBottom w:val="0"/>
      <w:divBdr>
        <w:top w:val="none" w:sz="0" w:space="0" w:color="auto"/>
        <w:left w:val="none" w:sz="0" w:space="0" w:color="auto"/>
        <w:bottom w:val="none" w:sz="0" w:space="0" w:color="auto"/>
        <w:right w:val="none" w:sz="0" w:space="0" w:color="auto"/>
      </w:divBdr>
    </w:div>
    <w:div w:id="974994373">
      <w:bodyDiv w:val="1"/>
      <w:marLeft w:val="0"/>
      <w:marRight w:val="0"/>
      <w:marTop w:val="0"/>
      <w:marBottom w:val="0"/>
      <w:divBdr>
        <w:top w:val="none" w:sz="0" w:space="0" w:color="auto"/>
        <w:left w:val="none" w:sz="0" w:space="0" w:color="auto"/>
        <w:bottom w:val="none" w:sz="0" w:space="0" w:color="auto"/>
        <w:right w:val="none" w:sz="0" w:space="0" w:color="auto"/>
      </w:divBdr>
    </w:div>
    <w:div w:id="1210341565">
      <w:bodyDiv w:val="1"/>
      <w:marLeft w:val="0"/>
      <w:marRight w:val="0"/>
      <w:marTop w:val="0"/>
      <w:marBottom w:val="0"/>
      <w:divBdr>
        <w:top w:val="none" w:sz="0" w:space="0" w:color="auto"/>
        <w:left w:val="none" w:sz="0" w:space="0" w:color="auto"/>
        <w:bottom w:val="none" w:sz="0" w:space="0" w:color="auto"/>
        <w:right w:val="none" w:sz="0" w:space="0" w:color="auto"/>
      </w:divBdr>
    </w:div>
    <w:div w:id="1349478793">
      <w:bodyDiv w:val="1"/>
      <w:marLeft w:val="0"/>
      <w:marRight w:val="0"/>
      <w:marTop w:val="0"/>
      <w:marBottom w:val="0"/>
      <w:divBdr>
        <w:top w:val="none" w:sz="0" w:space="0" w:color="auto"/>
        <w:left w:val="none" w:sz="0" w:space="0" w:color="auto"/>
        <w:bottom w:val="none" w:sz="0" w:space="0" w:color="auto"/>
        <w:right w:val="none" w:sz="0" w:space="0" w:color="auto"/>
      </w:divBdr>
    </w:div>
    <w:div w:id="1465738529">
      <w:bodyDiv w:val="1"/>
      <w:marLeft w:val="0"/>
      <w:marRight w:val="0"/>
      <w:marTop w:val="0"/>
      <w:marBottom w:val="0"/>
      <w:divBdr>
        <w:top w:val="none" w:sz="0" w:space="0" w:color="auto"/>
        <w:left w:val="none" w:sz="0" w:space="0" w:color="auto"/>
        <w:bottom w:val="none" w:sz="0" w:space="0" w:color="auto"/>
        <w:right w:val="none" w:sz="0" w:space="0" w:color="auto"/>
      </w:divBdr>
    </w:div>
    <w:div w:id="1542665768">
      <w:bodyDiv w:val="1"/>
      <w:marLeft w:val="0"/>
      <w:marRight w:val="0"/>
      <w:marTop w:val="0"/>
      <w:marBottom w:val="0"/>
      <w:divBdr>
        <w:top w:val="none" w:sz="0" w:space="0" w:color="auto"/>
        <w:left w:val="none" w:sz="0" w:space="0" w:color="auto"/>
        <w:bottom w:val="none" w:sz="0" w:space="0" w:color="auto"/>
        <w:right w:val="none" w:sz="0" w:space="0" w:color="auto"/>
      </w:divBdr>
    </w:div>
    <w:div w:id="1651055848">
      <w:bodyDiv w:val="1"/>
      <w:marLeft w:val="0"/>
      <w:marRight w:val="0"/>
      <w:marTop w:val="0"/>
      <w:marBottom w:val="0"/>
      <w:divBdr>
        <w:top w:val="none" w:sz="0" w:space="0" w:color="auto"/>
        <w:left w:val="none" w:sz="0" w:space="0" w:color="auto"/>
        <w:bottom w:val="none" w:sz="0" w:space="0" w:color="auto"/>
        <w:right w:val="none" w:sz="0" w:space="0" w:color="auto"/>
      </w:divBdr>
    </w:div>
    <w:div w:id="1843279992">
      <w:bodyDiv w:val="1"/>
      <w:marLeft w:val="0"/>
      <w:marRight w:val="0"/>
      <w:marTop w:val="0"/>
      <w:marBottom w:val="0"/>
      <w:divBdr>
        <w:top w:val="none" w:sz="0" w:space="0" w:color="auto"/>
        <w:left w:val="none" w:sz="0" w:space="0" w:color="auto"/>
        <w:bottom w:val="none" w:sz="0" w:space="0" w:color="auto"/>
        <w:right w:val="none" w:sz="0" w:space="0" w:color="auto"/>
      </w:divBdr>
    </w:div>
    <w:div w:id="1860391575">
      <w:bodyDiv w:val="1"/>
      <w:marLeft w:val="0"/>
      <w:marRight w:val="0"/>
      <w:marTop w:val="0"/>
      <w:marBottom w:val="0"/>
      <w:divBdr>
        <w:top w:val="none" w:sz="0" w:space="0" w:color="auto"/>
        <w:left w:val="none" w:sz="0" w:space="0" w:color="auto"/>
        <w:bottom w:val="none" w:sz="0" w:space="0" w:color="auto"/>
        <w:right w:val="none" w:sz="0" w:space="0" w:color="auto"/>
      </w:divBdr>
    </w:div>
    <w:div w:id="2027440688">
      <w:bodyDiv w:val="1"/>
      <w:marLeft w:val="0"/>
      <w:marRight w:val="0"/>
      <w:marTop w:val="0"/>
      <w:marBottom w:val="0"/>
      <w:divBdr>
        <w:top w:val="none" w:sz="0" w:space="0" w:color="auto"/>
        <w:left w:val="none" w:sz="0" w:space="0" w:color="auto"/>
        <w:bottom w:val="none" w:sz="0" w:space="0" w:color="auto"/>
        <w:right w:val="none" w:sz="0" w:space="0" w:color="auto"/>
      </w:divBdr>
    </w:div>
    <w:div w:id="21028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2765-EEAD-4149-9C03-A801D08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Recueil de procédures</vt:lpstr>
    </vt:vector>
  </TitlesOfParts>
  <Company>Vae Soli</Company>
  <LinksUpToDate>false</LinksUpToDate>
  <CharactersWithSpaces>11935</CharactersWithSpaces>
  <SharedDoc>false</SharedDoc>
  <HLinks>
    <vt:vector size="228" baseType="variant">
      <vt:variant>
        <vt:i4>1114222</vt:i4>
      </vt:variant>
      <vt:variant>
        <vt:i4>207</vt:i4>
      </vt:variant>
      <vt:variant>
        <vt:i4>0</vt:i4>
      </vt:variant>
      <vt:variant>
        <vt:i4>5</vt:i4>
      </vt:variant>
      <vt:variant>
        <vt:lpwstr>mailto:cedric.sicard@barcap.</vt:lpwstr>
      </vt:variant>
      <vt:variant>
        <vt:lpwstr/>
      </vt:variant>
      <vt:variant>
        <vt:i4>4259925</vt:i4>
      </vt:variant>
      <vt:variant>
        <vt:i4>204</vt:i4>
      </vt:variant>
      <vt:variant>
        <vt:i4>0</vt:i4>
      </vt:variant>
      <vt:variant>
        <vt:i4>5</vt:i4>
      </vt:variant>
      <vt:variant>
        <vt:lpwstr>../../../FICHIERS-COMMUN/Procédures/Suivi/ETMF III - FCPR - SAVE/Trésorerie/OPCVM</vt:lpwstr>
      </vt:variant>
      <vt:variant>
        <vt:lpwstr/>
      </vt:variant>
      <vt:variant>
        <vt:i4>2359307</vt:i4>
      </vt:variant>
      <vt:variant>
        <vt:i4>201</vt:i4>
      </vt:variant>
      <vt:variant>
        <vt:i4>0</vt:i4>
      </vt:variant>
      <vt:variant>
        <vt:i4>5</vt:i4>
      </vt:variant>
      <vt:variant>
        <vt:lpwstr>mailto:controleinterne@orkoscapital.com</vt:lpwstr>
      </vt:variant>
      <vt:variant>
        <vt:lpwstr/>
      </vt:variant>
      <vt:variant>
        <vt:i4>14417991</vt:i4>
      </vt:variant>
      <vt:variant>
        <vt:i4>198</vt:i4>
      </vt:variant>
      <vt:variant>
        <vt:i4>0</vt:i4>
      </vt:variant>
      <vt:variant>
        <vt:i4>5</vt:i4>
      </vt:variant>
      <vt:variant>
        <vt:lpwstr>../../../FICHIERS-COMMUN/Procédures/Suivi/ETMF III - PORTEFEUILLE/0 - Matrice</vt:lpwstr>
      </vt:variant>
      <vt:variant>
        <vt:lpwstr/>
      </vt:variant>
      <vt:variant>
        <vt:i4>2359307</vt:i4>
      </vt:variant>
      <vt:variant>
        <vt:i4>195</vt:i4>
      </vt:variant>
      <vt:variant>
        <vt:i4>0</vt:i4>
      </vt:variant>
      <vt:variant>
        <vt:i4>5</vt:i4>
      </vt:variant>
      <vt:variant>
        <vt:lpwstr>mailto:controleinterne@orkoscapital.com</vt:lpwstr>
      </vt:variant>
      <vt:variant>
        <vt:lpwstr/>
      </vt:variant>
      <vt:variant>
        <vt:i4>14876708</vt:i4>
      </vt:variant>
      <vt:variant>
        <vt:i4>192</vt:i4>
      </vt:variant>
      <vt:variant>
        <vt:i4>0</vt:i4>
      </vt:variant>
      <vt:variant>
        <vt:i4>5</vt:i4>
      </vt:variant>
      <vt:variant>
        <vt:lpwstr>../../../FICHIERS-COMMUN/Procédures/Suivi/DEAL FLOW (tableau suivi + dossiers)/Tableau suivi/Current/Deal FLow 2008 S2 v2008-12-01.xlsx</vt:lpwstr>
      </vt:variant>
      <vt:variant>
        <vt:lpwstr/>
      </vt:variant>
      <vt:variant>
        <vt:i4>16121910</vt:i4>
      </vt:variant>
      <vt:variant>
        <vt:i4>189</vt:i4>
      </vt:variant>
      <vt:variant>
        <vt:i4>0</vt:i4>
      </vt:variant>
      <vt:variant>
        <vt:i4>5</vt:i4>
      </vt:variant>
      <vt:variant>
        <vt:lpwstr>../../../FICHIERS-COMMUN/Procédures/Suivi/ETMF III - ORKOS/G&amp;A + CONTRATS/Informatique</vt:lpwstr>
      </vt:variant>
      <vt:variant>
        <vt:lpwstr/>
      </vt:variant>
      <vt:variant>
        <vt:i4>13959237</vt:i4>
      </vt:variant>
      <vt:variant>
        <vt:i4>183</vt:i4>
      </vt:variant>
      <vt:variant>
        <vt:i4>0</vt:i4>
      </vt:variant>
      <vt:variant>
        <vt:i4>5</vt:i4>
      </vt:variant>
      <vt:variant>
        <vt:lpwstr>../../../FICHIERS-COMMUN/Procédures/Suivi/ETMF III - ORKOS/G&amp;A + CONTRATS</vt:lpwstr>
      </vt:variant>
      <vt:variant>
        <vt:lpwstr/>
      </vt:variant>
      <vt:variant>
        <vt:i4>13959237</vt:i4>
      </vt:variant>
      <vt:variant>
        <vt:i4>180</vt:i4>
      </vt:variant>
      <vt:variant>
        <vt:i4>0</vt:i4>
      </vt:variant>
      <vt:variant>
        <vt:i4>5</vt:i4>
      </vt:variant>
      <vt:variant>
        <vt:lpwstr>../../../FICHIERS-COMMUN/Procédures/Suivi/ETMF III - ORKOS/G&amp;A + CONTRATS</vt:lpwstr>
      </vt:variant>
      <vt:variant>
        <vt:lpwstr/>
      </vt:variant>
      <vt:variant>
        <vt:i4>3473509</vt:i4>
      </vt:variant>
      <vt:variant>
        <vt:i4>177</vt:i4>
      </vt:variant>
      <vt:variant>
        <vt:i4>0</vt:i4>
      </vt:variant>
      <vt:variant>
        <vt:i4>5</vt:i4>
      </vt:variant>
      <vt:variant>
        <vt:lpwstr>../../../FICHIERS-COMMUN/Procédures/Suivi/ETMF III - FCPR - SAVE/Trésorerie/MODELE OPCVM ORKOS.xlsm</vt:lpwstr>
      </vt:variant>
      <vt:variant>
        <vt:lpwstr/>
      </vt:variant>
      <vt:variant>
        <vt:i4>3539070</vt:i4>
      </vt:variant>
      <vt:variant>
        <vt:i4>171</vt:i4>
      </vt:variant>
      <vt:variant>
        <vt:i4>0</vt:i4>
      </vt:variant>
      <vt:variant>
        <vt:i4>5</vt:i4>
      </vt:variant>
      <vt:variant>
        <vt:lpwstr>../../../FICHIERS-COMMUN/Procédures/Suivi/ETMF III - ORKOS/FINANCE/BANQUE TRESORERIE/Trésorerie - Compte bancaire/SUIVI TRESO CHQ DAT OPCVM.xls</vt:lpwstr>
      </vt:variant>
      <vt:variant>
        <vt:lpwstr/>
      </vt:variant>
      <vt:variant>
        <vt:i4>1835059</vt:i4>
      </vt:variant>
      <vt:variant>
        <vt:i4>158</vt:i4>
      </vt:variant>
      <vt:variant>
        <vt:i4>0</vt:i4>
      </vt:variant>
      <vt:variant>
        <vt:i4>5</vt:i4>
      </vt:variant>
      <vt:variant>
        <vt:lpwstr/>
      </vt:variant>
      <vt:variant>
        <vt:lpwstr>_Toc252208344</vt:lpwstr>
      </vt:variant>
      <vt:variant>
        <vt:i4>1835059</vt:i4>
      </vt:variant>
      <vt:variant>
        <vt:i4>152</vt:i4>
      </vt:variant>
      <vt:variant>
        <vt:i4>0</vt:i4>
      </vt:variant>
      <vt:variant>
        <vt:i4>5</vt:i4>
      </vt:variant>
      <vt:variant>
        <vt:lpwstr/>
      </vt:variant>
      <vt:variant>
        <vt:lpwstr>_Toc252208343</vt:lpwstr>
      </vt:variant>
      <vt:variant>
        <vt:i4>1835059</vt:i4>
      </vt:variant>
      <vt:variant>
        <vt:i4>146</vt:i4>
      </vt:variant>
      <vt:variant>
        <vt:i4>0</vt:i4>
      </vt:variant>
      <vt:variant>
        <vt:i4>5</vt:i4>
      </vt:variant>
      <vt:variant>
        <vt:lpwstr/>
      </vt:variant>
      <vt:variant>
        <vt:lpwstr>_Toc252208342</vt:lpwstr>
      </vt:variant>
      <vt:variant>
        <vt:i4>1835059</vt:i4>
      </vt:variant>
      <vt:variant>
        <vt:i4>140</vt:i4>
      </vt:variant>
      <vt:variant>
        <vt:i4>0</vt:i4>
      </vt:variant>
      <vt:variant>
        <vt:i4>5</vt:i4>
      </vt:variant>
      <vt:variant>
        <vt:lpwstr/>
      </vt:variant>
      <vt:variant>
        <vt:lpwstr>_Toc252208341</vt:lpwstr>
      </vt:variant>
      <vt:variant>
        <vt:i4>1835059</vt:i4>
      </vt:variant>
      <vt:variant>
        <vt:i4>134</vt:i4>
      </vt:variant>
      <vt:variant>
        <vt:i4>0</vt:i4>
      </vt:variant>
      <vt:variant>
        <vt:i4>5</vt:i4>
      </vt:variant>
      <vt:variant>
        <vt:lpwstr/>
      </vt:variant>
      <vt:variant>
        <vt:lpwstr>_Toc252208340</vt:lpwstr>
      </vt:variant>
      <vt:variant>
        <vt:i4>1769523</vt:i4>
      </vt:variant>
      <vt:variant>
        <vt:i4>128</vt:i4>
      </vt:variant>
      <vt:variant>
        <vt:i4>0</vt:i4>
      </vt:variant>
      <vt:variant>
        <vt:i4>5</vt:i4>
      </vt:variant>
      <vt:variant>
        <vt:lpwstr/>
      </vt:variant>
      <vt:variant>
        <vt:lpwstr>_Toc252208339</vt:lpwstr>
      </vt:variant>
      <vt:variant>
        <vt:i4>1769523</vt:i4>
      </vt:variant>
      <vt:variant>
        <vt:i4>122</vt:i4>
      </vt:variant>
      <vt:variant>
        <vt:i4>0</vt:i4>
      </vt:variant>
      <vt:variant>
        <vt:i4>5</vt:i4>
      </vt:variant>
      <vt:variant>
        <vt:lpwstr/>
      </vt:variant>
      <vt:variant>
        <vt:lpwstr>_Toc252208338</vt:lpwstr>
      </vt:variant>
      <vt:variant>
        <vt:i4>1769523</vt:i4>
      </vt:variant>
      <vt:variant>
        <vt:i4>116</vt:i4>
      </vt:variant>
      <vt:variant>
        <vt:i4>0</vt:i4>
      </vt:variant>
      <vt:variant>
        <vt:i4>5</vt:i4>
      </vt:variant>
      <vt:variant>
        <vt:lpwstr/>
      </vt:variant>
      <vt:variant>
        <vt:lpwstr>_Toc252208337</vt:lpwstr>
      </vt:variant>
      <vt:variant>
        <vt:i4>1769523</vt:i4>
      </vt:variant>
      <vt:variant>
        <vt:i4>110</vt:i4>
      </vt:variant>
      <vt:variant>
        <vt:i4>0</vt:i4>
      </vt:variant>
      <vt:variant>
        <vt:i4>5</vt:i4>
      </vt:variant>
      <vt:variant>
        <vt:lpwstr/>
      </vt:variant>
      <vt:variant>
        <vt:lpwstr>_Toc252208336</vt:lpwstr>
      </vt:variant>
      <vt:variant>
        <vt:i4>1769523</vt:i4>
      </vt:variant>
      <vt:variant>
        <vt:i4>104</vt:i4>
      </vt:variant>
      <vt:variant>
        <vt:i4>0</vt:i4>
      </vt:variant>
      <vt:variant>
        <vt:i4>5</vt:i4>
      </vt:variant>
      <vt:variant>
        <vt:lpwstr/>
      </vt:variant>
      <vt:variant>
        <vt:lpwstr>_Toc252208335</vt:lpwstr>
      </vt:variant>
      <vt:variant>
        <vt:i4>1769523</vt:i4>
      </vt:variant>
      <vt:variant>
        <vt:i4>98</vt:i4>
      </vt:variant>
      <vt:variant>
        <vt:i4>0</vt:i4>
      </vt:variant>
      <vt:variant>
        <vt:i4>5</vt:i4>
      </vt:variant>
      <vt:variant>
        <vt:lpwstr/>
      </vt:variant>
      <vt:variant>
        <vt:lpwstr>_Toc252208334</vt:lpwstr>
      </vt:variant>
      <vt:variant>
        <vt:i4>1769523</vt:i4>
      </vt:variant>
      <vt:variant>
        <vt:i4>92</vt:i4>
      </vt:variant>
      <vt:variant>
        <vt:i4>0</vt:i4>
      </vt:variant>
      <vt:variant>
        <vt:i4>5</vt:i4>
      </vt:variant>
      <vt:variant>
        <vt:lpwstr/>
      </vt:variant>
      <vt:variant>
        <vt:lpwstr>_Toc252208333</vt:lpwstr>
      </vt:variant>
      <vt:variant>
        <vt:i4>1769523</vt:i4>
      </vt:variant>
      <vt:variant>
        <vt:i4>86</vt:i4>
      </vt:variant>
      <vt:variant>
        <vt:i4>0</vt:i4>
      </vt:variant>
      <vt:variant>
        <vt:i4>5</vt:i4>
      </vt:variant>
      <vt:variant>
        <vt:lpwstr/>
      </vt:variant>
      <vt:variant>
        <vt:lpwstr>_Toc252208332</vt:lpwstr>
      </vt:variant>
      <vt:variant>
        <vt:i4>1769523</vt:i4>
      </vt:variant>
      <vt:variant>
        <vt:i4>80</vt:i4>
      </vt:variant>
      <vt:variant>
        <vt:i4>0</vt:i4>
      </vt:variant>
      <vt:variant>
        <vt:i4>5</vt:i4>
      </vt:variant>
      <vt:variant>
        <vt:lpwstr/>
      </vt:variant>
      <vt:variant>
        <vt:lpwstr>_Toc252208331</vt:lpwstr>
      </vt:variant>
      <vt:variant>
        <vt:i4>1769523</vt:i4>
      </vt:variant>
      <vt:variant>
        <vt:i4>74</vt:i4>
      </vt:variant>
      <vt:variant>
        <vt:i4>0</vt:i4>
      </vt:variant>
      <vt:variant>
        <vt:i4>5</vt:i4>
      </vt:variant>
      <vt:variant>
        <vt:lpwstr/>
      </vt:variant>
      <vt:variant>
        <vt:lpwstr>_Toc252208330</vt:lpwstr>
      </vt:variant>
      <vt:variant>
        <vt:i4>1703987</vt:i4>
      </vt:variant>
      <vt:variant>
        <vt:i4>68</vt:i4>
      </vt:variant>
      <vt:variant>
        <vt:i4>0</vt:i4>
      </vt:variant>
      <vt:variant>
        <vt:i4>5</vt:i4>
      </vt:variant>
      <vt:variant>
        <vt:lpwstr/>
      </vt:variant>
      <vt:variant>
        <vt:lpwstr>_Toc252208329</vt:lpwstr>
      </vt:variant>
      <vt:variant>
        <vt:i4>1703987</vt:i4>
      </vt:variant>
      <vt:variant>
        <vt:i4>62</vt:i4>
      </vt:variant>
      <vt:variant>
        <vt:i4>0</vt:i4>
      </vt:variant>
      <vt:variant>
        <vt:i4>5</vt:i4>
      </vt:variant>
      <vt:variant>
        <vt:lpwstr/>
      </vt:variant>
      <vt:variant>
        <vt:lpwstr>_Toc252208328</vt:lpwstr>
      </vt:variant>
      <vt:variant>
        <vt:i4>1703987</vt:i4>
      </vt:variant>
      <vt:variant>
        <vt:i4>56</vt:i4>
      </vt:variant>
      <vt:variant>
        <vt:i4>0</vt:i4>
      </vt:variant>
      <vt:variant>
        <vt:i4>5</vt:i4>
      </vt:variant>
      <vt:variant>
        <vt:lpwstr/>
      </vt:variant>
      <vt:variant>
        <vt:lpwstr>_Toc252208327</vt:lpwstr>
      </vt:variant>
      <vt:variant>
        <vt:i4>1703987</vt:i4>
      </vt:variant>
      <vt:variant>
        <vt:i4>50</vt:i4>
      </vt:variant>
      <vt:variant>
        <vt:i4>0</vt:i4>
      </vt:variant>
      <vt:variant>
        <vt:i4>5</vt:i4>
      </vt:variant>
      <vt:variant>
        <vt:lpwstr/>
      </vt:variant>
      <vt:variant>
        <vt:lpwstr>_Toc252208326</vt:lpwstr>
      </vt:variant>
      <vt:variant>
        <vt:i4>1703987</vt:i4>
      </vt:variant>
      <vt:variant>
        <vt:i4>44</vt:i4>
      </vt:variant>
      <vt:variant>
        <vt:i4>0</vt:i4>
      </vt:variant>
      <vt:variant>
        <vt:i4>5</vt:i4>
      </vt:variant>
      <vt:variant>
        <vt:lpwstr/>
      </vt:variant>
      <vt:variant>
        <vt:lpwstr>_Toc252208325</vt:lpwstr>
      </vt:variant>
      <vt:variant>
        <vt:i4>1703987</vt:i4>
      </vt:variant>
      <vt:variant>
        <vt:i4>38</vt:i4>
      </vt:variant>
      <vt:variant>
        <vt:i4>0</vt:i4>
      </vt:variant>
      <vt:variant>
        <vt:i4>5</vt:i4>
      </vt:variant>
      <vt:variant>
        <vt:lpwstr/>
      </vt:variant>
      <vt:variant>
        <vt:lpwstr>_Toc252208324</vt:lpwstr>
      </vt:variant>
      <vt:variant>
        <vt:i4>1703987</vt:i4>
      </vt:variant>
      <vt:variant>
        <vt:i4>32</vt:i4>
      </vt:variant>
      <vt:variant>
        <vt:i4>0</vt:i4>
      </vt:variant>
      <vt:variant>
        <vt:i4>5</vt:i4>
      </vt:variant>
      <vt:variant>
        <vt:lpwstr/>
      </vt:variant>
      <vt:variant>
        <vt:lpwstr>_Toc252208323</vt:lpwstr>
      </vt:variant>
      <vt:variant>
        <vt:i4>1703987</vt:i4>
      </vt:variant>
      <vt:variant>
        <vt:i4>26</vt:i4>
      </vt:variant>
      <vt:variant>
        <vt:i4>0</vt:i4>
      </vt:variant>
      <vt:variant>
        <vt:i4>5</vt:i4>
      </vt:variant>
      <vt:variant>
        <vt:lpwstr/>
      </vt:variant>
      <vt:variant>
        <vt:lpwstr>_Toc252208322</vt:lpwstr>
      </vt:variant>
      <vt:variant>
        <vt:i4>1703987</vt:i4>
      </vt:variant>
      <vt:variant>
        <vt:i4>20</vt:i4>
      </vt:variant>
      <vt:variant>
        <vt:i4>0</vt:i4>
      </vt:variant>
      <vt:variant>
        <vt:i4>5</vt:i4>
      </vt:variant>
      <vt:variant>
        <vt:lpwstr/>
      </vt:variant>
      <vt:variant>
        <vt:lpwstr>_Toc252208321</vt:lpwstr>
      </vt:variant>
      <vt:variant>
        <vt:i4>1703987</vt:i4>
      </vt:variant>
      <vt:variant>
        <vt:i4>14</vt:i4>
      </vt:variant>
      <vt:variant>
        <vt:i4>0</vt:i4>
      </vt:variant>
      <vt:variant>
        <vt:i4>5</vt:i4>
      </vt:variant>
      <vt:variant>
        <vt:lpwstr/>
      </vt:variant>
      <vt:variant>
        <vt:lpwstr>_Toc252208320</vt:lpwstr>
      </vt:variant>
      <vt:variant>
        <vt:i4>1638451</vt:i4>
      </vt:variant>
      <vt:variant>
        <vt:i4>8</vt:i4>
      </vt:variant>
      <vt:variant>
        <vt:i4>0</vt:i4>
      </vt:variant>
      <vt:variant>
        <vt:i4>5</vt:i4>
      </vt:variant>
      <vt:variant>
        <vt:lpwstr/>
      </vt:variant>
      <vt:variant>
        <vt:lpwstr>_Toc252208319</vt:lpwstr>
      </vt:variant>
      <vt:variant>
        <vt:i4>1638451</vt:i4>
      </vt:variant>
      <vt:variant>
        <vt:i4>2</vt:i4>
      </vt:variant>
      <vt:variant>
        <vt:i4>0</vt:i4>
      </vt:variant>
      <vt:variant>
        <vt:i4>5</vt:i4>
      </vt:variant>
      <vt:variant>
        <vt:lpwstr/>
      </vt:variant>
      <vt:variant>
        <vt:lpwstr>_Toc252208318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Recueil de procédures</dc:title>
  <dc:creator>Thomas Verhille</dc:creator>
  <cp:lastModifiedBy>Julien Aznarez</cp:lastModifiedBy>
  <cp:revision>3</cp:revision>
  <cp:lastPrinted>2015-01-30T11:38:00Z</cp:lastPrinted>
  <dcterms:created xsi:type="dcterms:W3CDTF">2022-06-30T15:44:00Z</dcterms:created>
  <dcterms:modified xsi:type="dcterms:W3CDTF">2022-06-30T15:48:00Z</dcterms:modified>
</cp:coreProperties>
</file>