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D6FE" w14:textId="7E7AC43F" w:rsidR="00537325" w:rsidRDefault="00537325" w:rsidP="00A81A1A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Groupe Siparex : SIGEFI </w:t>
      </w:r>
      <w:proofErr w:type="spellStart"/>
      <w:r>
        <w:rPr>
          <w:b/>
          <w:bCs/>
          <w:sz w:val="24"/>
          <w:szCs w:val="24"/>
        </w:rPr>
        <w:t>Private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Equity</w:t>
      </w:r>
      <w:proofErr w:type="spellEnd"/>
      <w:r>
        <w:rPr>
          <w:b/>
          <w:bCs/>
          <w:sz w:val="24"/>
          <w:szCs w:val="24"/>
        </w:rPr>
        <w:t xml:space="preserve"> et ses 5 filiales</w:t>
      </w:r>
    </w:p>
    <w:p w14:paraId="73463E69" w14:textId="77777777" w:rsidR="00537325" w:rsidRDefault="00537325" w:rsidP="00A81A1A">
      <w:pPr>
        <w:spacing w:after="120" w:line="240" w:lineRule="auto"/>
        <w:rPr>
          <w:b/>
          <w:bCs/>
          <w:sz w:val="24"/>
          <w:szCs w:val="24"/>
        </w:rPr>
      </w:pPr>
    </w:p>
    <w:p w14:paraId="3901B174" w14:textId="46C79FB2" w:rsidR="005C0C8A" w:rsidRPr="005C0C8A" w:rsidRDefault="005C0C8A" w:rsidP="00A81A1A">
      <w:pPr>
        <w:spacing w:after="120" w:line="240" w:lineRule="auto"/>
        <w:rPr>
          <w:b/>
          <w:bCs/>
          <w:sz w:val="24"/>
          <w:szCs w:val="24"/>
        </w:rPr>
      </w:pPr>
      <w:r w:rsidRPr="005C0C8A">
        <w:rPr>
          <w:b/>
          <w:bCs/>
          <w:sz w:val="24"/>
          <w:szCs w:val="24"/>
        </w:rPr>
        <w:t xml:space="preserve">Pilier I | Gouvernance et Stratégie Climatiques Instances, objectifs, déploiements, intégration &amp; pratiques d’engagement </w:t>
      </w:r>
    </w:p>
    <w:p w14:paraId="01950682" w14:textId="77777777" w:rsidR="005C0C8A" w:rsidRDefault="005C0C8A" w:rsidP="00A81A1A">
      <w:pPr>
        <w:spacing w:after="120" w:line="240" w:lineRule="auto"/>
      </w:pPr>
      <w:r>
        <w:t xml:space="preserve">1. Actifs et activités </w:t>
      </w:r>
    </w:p>
    <w:p w14:paraId="7A0817F7" w14:textId="77777777" w:rsidR="005C0C8A" w:rsidRDefault="005C0C8A" w:rsidP="00A81A1A">
      <w:pPr>
        <w:spacing w:after="120" w:line="240" w:lineRule="auto"/>
      </w:pPr>
      <w:r>
        <w:t xml:space="preserve">1.1. Activités et actifs considérés dans le cadre de l'exercice de </w:t>
      </w:r>
      <w:proofErr w:type="spellStart"/>
      <w:r>
        <w:t>reporting</w:t>
      </w:r>
      <w:proofErr w:type="spellEnd"/>
      <w:r>
        <w:t xml:space="preserve"> climat </w:t>
      </w:r>
    </w:p>
    <w:p w14:paraId="5B5C45FC" w14:textId="77777777" w:rsidR="005C0C8A" w:rsidRDefault="005C0C8A" w:rsidP="00A81A1A">
      <w:pPr>
        <w:spacing w:after="120" w:line="240" w:lineRule="auto"/>
      </w:pPr>
      <w:r>
        <w:t xml:space="preserve">1.1.1. Classes d'actifs considérées </w:t>
      </w:r>
    </w:p>
    <w:p w14:paraId="655D1C79" w14:textId="661AF8AF" w:rsidR="005C0C8A" w:rsidRPr="002F1A8F" w:rsidRDefault="005C0C8A" w:rsidP="00A81A1A">
      <w:pPr>
        <w:spacing w:after="120" w:line="240" w:lineRule="auto"/>
        <w:rPr>
          <w:color w:val="002060"/>
        </w:rPr>
      </w:pPr>
      <w:r w:rsidRPr="002F1A8F">
        <w:rPr>
          <w:color w:val="002060"/>
        </w:rPr>
        <w:t>3 milliards d'actifs sous gestion (</w:t>
      </w:r>
      <w:r w:rsidR="002F1A8F" w:rsidRPr="002F1A8F">
        <w:rPr>
          <w:color w:val="002060"/>
        </w:rPr>
        <w:t>page d’accueil du site web du Groupe : www.siparex.com</w:t>
      </w:r>
      <w:r w:rsidRPr="002F1A8F">
        <w:rPr>
          <w:color w:val="002060"/>
        </w:rPr>
        <w:t>)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600"/>
        <w:gridCol w:w="3020"/>
      </w:tblGrid>
      <w:tr w:rsidR="005C0C8A" w:rsidRPr="005C0C8A" w14:paraId="1789E734" w14:textId="77777777" w:rsidTr="00CB41C7">
        <w:trPr>
          <w:trHeight w:val="51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13ECA04B" w14:textId="77777777" w:rsidR="005C0C8A" w:rsidRPr="00CB41C7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Classes, fonds, poches</w:t>
            </w:r>
          </w:p>
        </w:tc>
        <w:tc>
          <w:tcPr>
            <w:tcW w:w="36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77CE2805" w14:textId="77777777" w:rsidR="005C0C8A" w:rsidRPr="00CB41C7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Montant des encours </w:t>
            </w:r>
          </w:p>
        </w:tc>
        <w:tc>
          <w:tcPr>
            <w:tcW w:w="3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3AE252A9" w14:textId="77777777" w:rsidR="005C0C8A" w:rsidRPr="00CB41C7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Poids sur le total des actifs sous gestion / détenus </w:t>
            </w:r>
          </w:p>
        </w:tc>
      </w:tr>
      <w:tr w:rsidR="005C0C8A" w:rsidRPr="005C0C8A" w14:paraId="757C41B7" w14:textId="77777777" w:rsidTr="001C4284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20776626" w14:textId="77777777" w:rsidR="005C0C8A" w:rsidRPr="00467684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002060"/>
                <w:sz w:val="20"/>
                <w:szCs w:val="20"/>
                <w:lang w:eastAsia="fr-FR"/>
              </w:rPr>
              <w:t>Capital-investissement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F967262" w14:textId="77777777" w:rsidR="005C0C8A" w:rsidRPr="00467684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  <w:t>2 540 M€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9AEE461" w14:textId="77777777" w:rsidR="005C0C8A" w:rsidRPr="00467684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  <w:t>84%</w:t>
            </w:r>
          </w:p>
        </w:tc>
      </w:tr>
      <w:tr w:rsidR="005C0C8A" w:rsidRPr="005C0C8A" w14:paraId="7E9DC892" w14:textId="77777777" w:rsidTr="001C4284">
        <w:trPr>
          <w:trHeight w:val="454"/>
        </w:trPr>
        <w:tc>
          <w:tcPr>
            <w:tcW w:w="30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3AF1F993" w14:textId="77777777" w:rsidR="005C0C8A" w:rsidRPr="00467684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002060"/>
                <w:sz w:val="20"/>
                <w:szCs w:val="20"/>
                <w:lang w:eastAsia="fr-FR"/>
              </w:rPr>
              <w:t>Dette Privée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0004C0C" w14:textId="77777777" w:rsidR="005C0C8A" w:rsidRPr="00467684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  <w:t>470 M€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6726BC8" w14:textId="77777777" w:rsidR="005C0C8A" w:rsidRPr="00467684" w:rsidRDefault="005C0C8A" w:rsidP="005C0C8A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20"/>
                <w:szCs w:val="20"/>
                <w:lang w:eastAsia="fr-FR"/>
              </w:rPr>
              <w:t>16%</w:t>
            </w:r>
          </w:p>
        </w:tc>
      </w:tr>
    </w:tbl>
    <w:p w14:paraId="4C212D79" w14:textId="4495062D" w:rsidR="005C0C8A" w:rsidRDefault="005C0C8A" w:rsidP="00A81A1A">
      <w:pPr>
        <w:spacing w:after="120" w:line="240" w:lineRule="auto"/>
      </w:pPr>
    </w:p>
    <w:p w14:paraId="3AC41DBF" w14:textId="7747BDAF" w:rsidR="004E7ED9" w:rsidRDefault="004E7ED9" w:rsidP="00A81A1A">
      <w:pPr>
        <w:spacing w:after="120" w:line="240" w:lineRule="auto"/>
      </w:pPr>
      <w:r>
        <w:t xml:space="preserve">1.1.2. Activités considérées </w:t>
      </w:r>
    </w:p>
    <w:p w14:paraId="241ABB8D" w14:textId="03AD99E1" w:rsidR="004E7ED9" w:rsidRPr="002F1A8F" w:rsidRDefault="004E7ED9" w:rsidP="00A81A1A">
      <w:pPr>
        <w:spacing w:after="120" w:line="240" w:lineRule="auto"/>
        <w:rPr>
          <w:color w:val="002060"/>
        </w:rPr>
      </w:pPr>
      <w:r w:rsidRPr="002F1A8F">
        <w:rPr>
          <w:color w:val="002060"/>
        </w:rPr>
        <w:t>100% des activités sous gestion du groupe</w:t>
      </w:r>
      <w:r w:rsidR="00D944BF" w:rsidRPr="002F1A8F">
        <w:rPr>
          <w:color w:val="002060"/>
        </w:rPr>
        <w:t>.</w:t>
      </w:r>
    </w:p>
    <w:p w14:paraId="15ECDC17" w14:textId="77777777" w:rsidR="004E7ED9" w:rsidRDefault="004E7ED9" w:rsidP="00A81A1A">
      <w:pPr>
        <w:spacing w:after="120" w:line="240" w:lineRule="auto"/>
      </w:pPr>
    </w:p>
    <w:p w14:paraId="30C95D53" w14:textId="77777777" w:rsidR="00184468" w:rsidRDefault="005C0C8A" w:rsidP="00A81A1A">
      <w:pPr>
        <w:spacing w:after="120" w:line="240" w:lineRule="auto"/>
      </w:pPr>
      <w:r>
        <w:t xml:space="preserve">1.1.3. Tableau des analyses climat </w:t>
      </w:r>
    </w:p>
    <w:tbl>
      <w:tblPr>
        <w:tblW w:w="9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1587"/>
        <w:gridCol w:w="1587"/>
        <w:gridCol w:w="1361"/>
        <w:gridCol w:w="1701"/>
        <w:gridCol w:w="1701"/>
      </w:tblGrid>
      <w:tr w:rsidR="002312C9" w:rsidRPr="002312C9" w14:paraId="327CBD89" w14:textId="77777777" w:rsidTr="00467684">
        <w:trPr>
          <w:trHeight w:val="750"/>
        </w:trPr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5895E839" w14:textId="77777777" w:rsidR="002312C9" w:rsidRPr="00CB41C7" w:rsidRDefault="002312C9" w:rsidP="002312C9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t>Classes, fonds, poches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09FAB88A" w14:textId="77777777" w:rsidR="002312C9" w:rsidRPr="00CB41C7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t xml:space="preserve">Risque / Opportunité </w:t>
            </w: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br/>
              <w:t>physique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728633D6" w14:textId="77777777" w:rsidR="002312C9" w:rsidRPr="00CB41C7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t xml:space="preserve">Risque / Opportunité </w:t>
            </w: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br/>
              <w:t>de transition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217F914E" w14:textId="77777777" w:rsidR="002312C9" w:rsidRPr="00CB41C7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t>Alignement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35F61ADA" w14:textId="77777777" w:rsidR="002312C9" w:rsidRPr="00CB41C7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t xml:space="preserve">Estimation d'impact </w:t>
            </w: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br/>
              <w:t>(émetteur)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3D70FBE8" w14:textId="77777777" w:rsidR="002312C9" w:rsidRPr="00CB41C7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t xml:space="preserve">Estimation d'impact </w:t>
            </w:r>
            <w:r w:rsidRPr="00CB41C7">
              <w:rPr>
                <w:rFonts w:ascii="Baloo Thambi 2" w:eastAsia="Times New Roman" w:hAnsi="Baloo Thambi 2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eastAsia="fr-FR"/>
              </w:rPr>
              <w:br/>
              <w:t>(entité)</w:t>
            </w:r>
          </w:p>
        </w:tc>
      </w:tr>
      <w:tr w:rsidR="002312C9" w:rsidRPr="002312C9" w14:paraId="11DDE951" w14:textId="77777777" w:rsidTr="002312C9">
        <w:trPr>
          <w:trHeight w:val="750"/>
        </w:trPr>
        <w:tc>
          <w:tcPr>
            <w:tcW w:w="20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6800AD5" w14:textId="77777777" w:rsidR="002312C9" w:rsidRPr="002312C9" w:rsidRDefault="002312C9" w:rsidP="002312C9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Capital-investissement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Fonds article 6 SFDR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292C73F5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29694B1B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7732120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26CAAC0F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8377059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</w:tr>
      <w:tr w:rsidR="002312C9" w:rsidRPr="002312C9" w14:paraId="1F0FF787" w14:textId="77777777" w:rsidTr="002312C9">
        <w:trPr>
          <w:trHeight w:val="750"/>
        </w:trPr>
        <w:tc>
          <w:tcPr>
            <w:tcW w:w="20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94C79E2" w14:textId="77777777" w:rsidR="002312C9" w:rsidRPr="002312C9" w:rsidRDefault="002312C9" w:rsidP="002312C9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Private</w:t>
            </w:r>
            <w:proofErr w:type="spellEnd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debt</w:t>
            </w:r>
            <w:proofErr w:type="spellEnd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Fonds article 6 SFDR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5EC8215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D473532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FD0A9A3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308B066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F641F41" w14:textId="77777777" w:rsidR="002312C9" w:rsidRPr="002312C9" w:rsidRDefault="002312C9" w:rsidP="002312C9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</w:tr>
      <w:tr w:rsidR="002312C9" w:rsidRPr="002312C9" w14:paraId="5C68FB29" w14:textId="77777777" w:rsidTr="002312C9">
        <w:trPr>
          <w:trHeight w:val="750"/>
        </w:trPr>
        <w:tc>
          <w:tcPr>
            <w:tcW w:w="20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297B3A2" w14:textId="77777777" w:rsidR="002312C9" w:rsidRPr="002312C9" w:rsidRDefault="002312C9" w:rsidP="002312C9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Capital-investissement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(Fonds article 8 SFDR)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375C4962" w14:textId="6A7814A8" w:rsidR="00D000B0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Analyse de matérialité à l'entrée</w:t>
            </w:r>
          </w:p>
          <w:p w14:paraId="50D33387" w14:textId="24F07243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SWOT ESG &amp; Climat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1BD4DD8" w14:textId="77777777" w:rsidR="00D000B0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Analyse de matérialité à l'entrée</w:t>
            </w:r>
          </w:p>
          <w:p w14:paraId="516CAE8A" w14:textId="14120101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SWOT ESG &amp; Climat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170BE92" w14:textId="77777777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SBT le cas échéant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D4BCA18" w14:textId="23AFC728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Réduction de l'intensité carbone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 xml:space="preserve">(Scope 1 et 2 + </w:t>
            </w:r>
            <w:r w:rsidR="00D000B0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Scope 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3 le cas échéant)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F94D982" w14:textId="7EC29129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Réduction de l'intensité carbone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 xml:space="preserve">(Scope 1 et 2 + </w:t>
            </w:r>
            <w:r w:rsidR="00D000B0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Scope 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3 le cas échéant)</w:t>
            </w:r>
          </w:p>
        </w:tc>
      </w:tr>
      <w:tr w:rsidR="002312C9" w:rsidRPr="002312C9" w14:paraId="17B705F1" w14:textId="77777777" w:rsidTr="002312C9">
        <w:trPr>
          <w:trHeight w:val="930"/>
        </w:trPr>
        <w:tc>
          <w:tcPr>
            <w:tcW w:w="20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27830CE" w14:textId="77777777" w:rsidR="002312C9" w:rsidRPr="002312C9" w:rsidRDefault="002312C9" w:rsidP="002312C9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TiLT</w:t>
            </w:r>
            <w:proofErr w:type="spellEnd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Capital </w:t>
            </w:r>
            <w:proofErr w:type="spell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Fund</w:t>
            </w:r>
            <w:proofErr w:type="spellEnd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1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(Fonds article 9 SFDR avec objectif environnemental)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134E0FA" w14:textId="77777777" w:rsidR="00D000B0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Analyse de matérialité à l'entrée</w:t>
            </w:r>
          </w:p>
          <w:p w14:paraId="17F531AB" w14:textId="6CFBC156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SWOT ESG &amp; Climat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F98228E" w14:textId="77777777" w:rsidR="00D000B0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Analyse de matérialité à l'entrée</w:t>
            </w:r>
          </w:p>
          <w:p w14:paraId="347F3700" w14:textId="1D51362D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SWOT ESG &amp; Climat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7F1B569" w14:textId="77777777" w:rsidR="00D000B0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SB2A a minima</w:t>
            </w:r>
          </w:p>
          <w:p w14:paraId="0F6DD897" w14:textId="221A2995" w:rsidR="002312C9" w:rsidRPr="002312C9" w:rsidRDefault="00D000B0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T</w:t>
            </w:r>
            <w:r w:rsidR="002312C9"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axinomie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41AC751" w14:textId="77777777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Réduire / éviter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les émissions de 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25D1338" w14:textId="77777777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Réduire / éviter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les émissions de GES</w:t>
            </w:r>
          </w:p>
        </w:tc>
      </w:tr>
      <w:tr w:rsidR="002312C9" w:rsidRPr="002312C9" w14:paraId="2A670E54" w14:textId="77777777" w:rsidTr="002312C9">
        <w:trPr>
          <w:trHeight w:val="900"/>
        </w:trPr>
        <w:tc>
          <w:tcPr>
            <w:tcW w:w="20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36BA3AC" w14:textId="77777777" w:rsidR="002312C9" w:rsidRPr="002312C9" w:rsidRDefault="002312C9" w:rsidP="002312C9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Mutuelles Impact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(Fonds article 9 SFDR avec objectif social)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C9CDC58" w14:textId="77777777" w:rsidR="00D000B0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Analyse de matérialité à l'entrée</w:t>
            </w:r>
          </w:p>
          <w:p w14:paraId="6D1B3A62" w14:textId="77777777" w:rsidR="00D000B0" w:rsidRDefault="00D000B0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</w:p>
          <w:p w14:paraId="3372F55F" w14:textId="38BE06E4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SWOT ESG &amp; Climat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BBA7F2B" w14:textId="77777777" w:rsidR="00D000B0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Analyse de matérialité à l'entrée</w:t>
            </w:r>
          </w:p>
          <w:p w14:paraId="5C3C08F7" w14:textId="5B73FCEA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SWOT ESG &amp; Climat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630C234" w14:textId="77777777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796E989" w14:textId="77777777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Réduction de l'intensité carbone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(Scope 1 et 2 + 3 le cas échéant)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389D96E" w14:textId="77777777" w:rsidR="002312C9" w:rsidRPr="002312C9" w:rsidRDefault="002312C9" w:rsidP="00D000B0">
            <w:pPr>
              <w:spacing w:after="4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Réduction de l'intensité carbone</w:t>
            </w:r>
            <w:r w:rsidRPr="002312C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(Scope 1 et 2 + 3 le cas échéant)</w:t>
            </w:r>
          </w:p>
        </w:tc>
      </w:tr>
    </w:tbl>
    <w:p w14:paraId="44F4B8D5" w14:textId="35F4F6C6" w:rsidR="00184468" w:rsidRDefault="00184468" w:rsidP="00A81A1A">
      <w:pPr>
        <w:spacing w:after="120" w:line="240" w:lineRule="auto"/>
      </w:pPr>
    </w:p>
    <w:p w14:paraId="3E1332AC" w14:textId="19995759" w:rsidR="00DD21A9" w:rsidRPr="00DC4692" w:rsidRDefault="00DD21A9" w:rsidP="00A81A1A">
      <w:pPr>
        <w:spacing w:after="120" w:line="240" w:lineRule="auto"/>
        <w:jc w:val="both"/>
        <w:rPr>
          <w:color w:val="002060"/>
        </w:rPr>
      </w:pPr>
      <w:r w:rsidRPr="00DC4692">
        <w:rPr>
          <w:color w:val="002060"/>
        </w:rPr>
        <w:t>ESG</w:t>
      </w:r>
      <w:r w:rsidR="003301E9" w:rsidRPr="00DC4692">
        <w:rPr>
          <w:color w:val="002060"/>
        </w:rPr>
        <w:t> </w:t>
      </w:r>
      <w:r w:rsidR="00D86C73" w:rsidRPr="00DC4692">
        <w:rPr>
          <w:color w:val="002060"/>
        </w:rPr>
        <w:t xml:space="preserve">acronyme </w:t>
      </w:r>
      <w:r w:rsidR="003301E9" w:rsidRPr="00DC4692">
        <w:rPr>
          <w:color w:val="002060"/>
        </w:rPr>
        <w:t>de</w:t>
      </w:r>
      <w:r w:rsidRPr="00DC4692">
        <w:rPr>
          <w:color w:val="002060"/>
        </w:rPr>
        <w:t xml:space="preserve"> </w:t>
      </w:r>
      <w:r w:rsidR="00590AE4" w:rsidRPr="00DC4692">
        <w:rPr>
          <w:color w:val="002060"/>
        </w:rPr>
        <w:t>« </w:t>
      </w:r>
      <w:r w:rsidR="003301E9" w:rsidRPr="00DC4692">
        <w:rPr>
          <w:color w:val="002060"/>
        </w:rPr>
        <w:t>Environnementaux, Sociaux et de Gouvernance »</w:t>
      </w:r>
      <w:r w:rsidR="00D86C73" w:rsidRPr="00DC4692">
        <w:rPr>
          <w:color w:val="002060"/>
        </w:rPr>
        <w:t>,</w:t>
      </w:r>
      <w:r w:rsidR="00887375" w:rsidRPr="00DC4692">
        <w:rPr>
          <w:color w:val="002060"/>
        </w:rPr>
        <w:t xml:space="preserve"> couramment employé pour désigner</w:t>
      </w:r>
      <w:r w:rsidR="007545BE" w:rsidRPr="00DC4692">
        <w:rPr>
          <w:color w:val="002060"/>
        </w:rPr>
        <w:t xml:space="preserve"> les dimensions extra-financières </w:t>
      </w:r>
      <w:r w:rsidR="009B1919" w:rsidRPr="00DC4692">
        <w:rPr>
          <w:color w:val="002060"/>
        </w:rPr>
        <w:t>des</w:t>
      </w:r>
      <w:r w:rsidR="007545BE" w:rsidRPr="00DC4692">
        <w:rPr>
          <w:color w:val="002060"/>
        </w:rPr>
        <w:t xml:space="preserve"> activité</w:t>
      </w:r>
      <w:r w:rsidR="009B1919" w:rsidRPr="00DC4692">
        <w:rPr>
          <w:color w:val="002060"/>
        </w:rPr>
        <w:t>s</w:t>
      </w:r>
      <w:r w:rsidR="007545BE" w:rsidRPr="00DC4692">
        <w:rPr>
          <w:color w:val="002060"/>
        </w:rPr>
        <w:t xml:space="preserve"> d</w:t>
      </w:r>
      <w:r w:rsidR="009B1919" w:rsidRPr="00DC4692">
        <w:rPr>
          <w:color w:val="002060"/>
        </w:rPr>
        <w:t>e capital-</w:t>
      </w:r>
      <w:r w:rsidR="007545BE" w:rsidRPr="00DC4692">
        <w:rPr>
          <w:color w:val="002060"/>
        </w:rPr>
        <w:t>investissement.</w:t>
      </w:r>
    </w:p>
    <w:p w14:paraId="37346349" w14:textId="53AE774C" w:rsidR="00184468" w:rsidRPr="00DC4692" w:rsidRDefault="003301E9" w:rsidP="00A81A1A">
      <w:pPr>
        <w:spacing w:after="120" w:line="240" w:lineRule="auto"/>
        <w:jc w:val="both"/>
        <w:rPr>
          <w:color w:val="002060"/>
        </w:rPr>
      </w:pPr>
      <w:r w:rsidRPr="00DC4692">
        <w:rPr>
          <w:color w:val="002060"/>
        </w:rPr>
        <w:t xml:space="preserve">GES </w:t>
      </w:r>
      <w:r w:rsidR="00887375" w:rsidRPr="00DC4692">
        <w:rPr>
          <w:color w:val="002060"/>
        </w:rPr>
        <w:t>acronyme de « Ga</w:t>
      </w:r>
      <w:r w:rsidR="00B53250" w:rsidRPr="00DC4692">
        <w:rPr>
          <w:color w:val="002060"/>
        </w:rPr>
        <w:t>z à effet de serre ».</w:t>
      </w:r>
    </w:p>
    <w:p w14:paraId="55BCB1DD" w14:textId="3B654C46" w:rsidR="00B53250" w:rsidRPr="00DC4692" w:rsidRDefault="00B53250" w:rsidP="00A81A1A">
      <w:pPr>
        <w:spacing w:after="120" w:line="240" w:lineRule="auto"/>
        <w:jc w:val="both"/>
        <w:rPr>
          <w:color w:val="002060"/>
        </w:rPr>
      </w:pPr>
      <w:r w:rsidRPr="00DC4692">
        <w:rPr>
          <w:color w:val="002060"/>
        </w:rPr>
        <w:t xml:space="preserve">SBT acronyme de « Science </w:t>
      </w:r>
      <w:proofErr w:type="spellStart"/>
      <w:r w:rsidRPr="00DC4692">
        <w:rPr>
          <w:color w:val="002060"/>
        </w:rPr>
        <w:t>Based</w:t>
      </w:r>
      <w:proofErr w:type="spellEnd"/>
      <w:r w:rsidRPr="00DC4692">
        <w:rPr>
          <w:color w:val="002060"/>
        </w:rPr>
        <w:t xml:space="preserve"> </w:t>
      </w:r>
      <w:proofErr w:type="spellStart"/>
      <w:r w:rsidRPr="00DC4692">
        <w:rPr>
          <w:color w:val="002060"/>
        </w:rPr>
        <w:t>Target</w:t>
      </w:r>
      <w:r w:rsidR="00564F07" w:rsidRPr="00DC4692">
        <w:rPr>
          <w:color w:val="002060"/>
        </w:rPr>
        <w:t>s</w:t>
      </w:r>
      <w:proofErr w:type="spellEnd"/>
      <w:r w:rsidR="00564F07" w:rsidRPr="00DC4692">
        <w:rPr>
          <w:color w:val="002060"/>
        </w:rPr>
        <w:t> ».</w:t>
      </w:r>
    </w:p>
    <w:p w14:paraId="6F24DA93" w14:textId="14745D6D" w:rsidR="00F270C7" w:rsidRPr="00DC4692" w:rsidRDefault="00564F07" w:rsidP="00A81A1A">
      <w:pPr>
        <w:spacing w:after="120" w:line="240" w:lineRule="auto"/>
        <w:jc w:val="both"/>
        <w:rPr>
          <w:color w:val="002060"/>
        </w:rPr>
      </w:pPr>
      <w:r w:rsidRPr="00DC4692">
        <w:rPr>
          <w:color w:val="002060"/>
        </w:rPr>
        <w:t xml:space="preserve">SB2A acronyme de </w:t>
      </w:r>
      <w:r w:rsidR="007545BE" w:rsidRPr="00DC4692">
        <w:rPr>
          <w:color w:val="002060"/>
        </w:rPr>
        <w:t xml:space="preserve">« Science </w:t>
      </w:r>
      <w:proofErr w:type="spellStart"/>
      <w:r w:rsidR="007545BE" w:rsidRPr="00DC4692">
        <w:rPr>
          <w:color w:val="002060"/>
        </w:rPr>
        <w:t>Based</w:t>
      </w:r>
      <w:proofErr w:type="spellEnd"/>
      <w:r w:rsidR="007545BE" w:rsidRPr="00DC4692">
        <w:rPr>
          <w:color w:val="002060"/>
        </w:rPr>
        <w:t xml:space="preserve"> 2°C </w:t>
      </w:r>
      <w:proofErr w:type="spellStart"/>
      <w:r w:rsidR="007545BE" w:rsidRPr="00DC4692">
        <w:rPr>
          <w:color w:val="002060"/>
        </w:rPr>
        <w:t>Alignment</w:t>
      </w:r>
      <w:proofErr w:type="spellEnd"/>
      <w:r w:rsidR="007545BE" w:rsidRPr="00DC4692">
        <w:rPr>
          <w:color w:val="002060"/>
        </w:rPr>
        <w:t xml:space="preserve"> </w:t>
      </w:r>
      <w:proofErr w:type="spellStart"/>
      <w:r w:rsidR="007545BE" w:rsidRPr="00DC4692">
        <w:rPr>
          <w:color w:val="002060"/>
        </w:rPr>
        <w:t>method</w:t>
      </w:r>
      <w:proofErr w:type="spellEnd"/>
      <w:r w:rsidR="007545BE" w:rsidRPr="00DC4692">
        <w:rPr>
          <w:color w:val="002060"/>
        </w:rPr>
        <w:t> ».</w:t>
      </w:r>
    </w:p>
    <w:p w14:paraId="22C388DD" w14:textId="77777777" w:rsidR="00A81A1A" w:rsidRPr="00D74E25" w:rsidRDefault="00A81A1A" w:rsidP="00A81A1A">
      <w:pPr>
        <w:spacing w:after="120" w:line="240" w:lineRule="auto"/>
      </w:pPr>
    </w:p>
    <w:p w14:paraId="5A4796DF" w14:textId="3FF1CFEE" w:rsidR="00184468" w:rsidRDefault="005C0C8A" w:rsidP="00A81A1A">
      <w:pPr>
        <w:spacing w:after="120" w:line="240" w:lineRule="auto"/>
      </w:pPr>
      <w:r>
        <w:lastRenderedPageBreak/>
        <w:t xml:space="preserve">1.2. Actifs soutenant la Transition au sens de l'entité </w:t>
      </w:r>
    </w:p>
    <w:p w14:paraId="02375225" w14:textId="77777777" w:rsidR="00184468" w:rsidRDefault="005C0C8A" w:rsidP="00A81A1A">
      <w:pPr>
        <w:spacing w:after="120" w:line="240" w:lineRule="auto"/>
      </w:pPr>
      <w:r>
        <w:t xml:space="preserve">1.2.1 Liste des actifs/produits cités par l'entité comme soutenant la Transition </w:t>
      </w:r>
    </w:p>
    <w:tbl>
      <w:tblPr>
        <w:tblW w:w="8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515"/>
        <w:gridCol w:w="1191"/>
        <w:gridCol w:w="1191"/>
      </w:tblGrid>
      <w:tr w:rsidR="00F270C7" w:rsidRPr="00F270C7" w14:paraId="18F052CB" w14:textId="77777777" w:rsidTr="00CB41C7">
        <w:trPr>
          <w:trHeight w:val="397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67E7442F" w14:textId="77777777" w:rsidR="00F270C7" w:rsidRPr="00CB41C7" w:rsidRDefault="00F270C7" w:rsidP="00F270C7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Classes, fonds, poches</w:t>
            </w:r>
          </w:p>
        </w:tc>
        <w:tc>
          <w:tcPr>
            <w:tcW w:w="35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2E2F9CD0" w14:textId="77777777" w:rsidR="00F270C7" w:rsidRPr="00CB41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Description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739F93F4" w14:textId="77777777" w:rsidR="00F270C7" w:rsidRPr="00CB41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4BFBE0EA" w14:textId="77777777" w:rsidR="00F270C7" w:rsidRPr="00CB41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Poids</w:t>
            </w:r>
          </w:p>
        </w:tc>
      </w:tr>
      <w:tr w:rsidR="00F270C7" w:rsidRPr="00F270C7" w14:paraId="5D9E4FFB" w14:textId="77777777" w:rsidTr="00F270C7">
        <w:trPr>
          <w:trHeight w:val="794"/>
        </w:trPr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6A4EACB" w14:textId="4C104B36" w:rsidR="00F270C7" w:rsidRPr="00467684" w:rsidRDefault="00F270C7" w:rsidP="00F270C7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Fonds article 8 SFDR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</w:r>
            <w:r w:rsidR="00685EA2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+ 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Fonds Mutuelles Impact article 9 SFDR à objectif social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FD05EAB" w14:textId="77777777" w:rsidR="00F270C7" w:rsidRPr="00F270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Bilan carbone et suivi annuel </w:t>
            </w: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de l'intensité carbone de l'activité</w:t>
            </w: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Plan de réduction de l'intensité carbone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7CC6F55" w14:textId="2AF0AF56" w:rsidR="00F270C7" w:rsidRPr="00F270C7" w:rsidRDefault="00660DDE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1 100 M€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8D7E5FA" w14:textId="1D360E87" w:rsidR="00F270C7" w:rsidRPr="00F270C7" w:rsidRDefault="00685EA2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37</w:t>
            </w:r>
            <w:r w:rsidR="00F270C7"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%</w:t>
            </w:r>
          </w:p>
        </w:tc>
      </w:tr>
      <w:tr w:rsidR="00F270C7" w:rsidRPr="00F270C7" w14:paraId="7958D37D" w14:textId="77777777" w:rsidTr="00F270C7">
        <w:trPr>
          <w:trHeight w:val="794"/>
        </w:trPr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D6F37D0" w14:textId="77777777" w:rsidR="00F270C7" w:rsidRPr="00467684" w:rsidRDefault="00F270C7" w:rsidP="00F270C7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TiLT</w:t>
            </w:r>
            <w:proofErr w:type="spellEnd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Capital </w:t>
            </w:r>
            <w:proofErr w:type="spell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Fund</w:t>
            </w:r>
            <w:proofErr w:type="spellEnd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1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(Fonds article 9 SFDR à objectif environnemental)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EBCE20E" w14:textId="77777777" w:rsidR="00F270C7" w:rsidRPr="00F270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L'objectif d'investissement du Fonds est de décarboner le système énergétique tout en maintenant le coût de la transition au plus bas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3F391578" w14:textId="7399470E" w:rsidR="00F270C7" w:rsidRPr="00F270C7" w:rsidRDefault="00660DDE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15</w:t>
            </w:r>
            <w:r w:rsidR="00F270C7"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0 M€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BF96308" w14:textId="44B4F2A3" w:rsidR="00F270C7" w:rsidRPr="00F270C7" w:rsidRDefault="00685EA2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5</w:t>
            </w:r>
            <w:r w:rsidR="00F270C7"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%</w:t>
            </w:r>
          </w:p>
        </w:tc>
      </w:tr>
      <w:tr w:rsidR="00F270C7" w:rsidRPr="00F270C7" w14:paraId="03B4C14F" w14:textId="77777777" w:rsidTr="00F270C7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FB65B58" w14:textId="77777777" w:rsidR="00F270C7" w:rsidRPr="00467684" w:rsidRDefault="00F270C7" w:rsidP="00F270C7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002060"/>
                <w:sz w:val="16"/>
                <w:szCs w:val="16"/>
                <w:u w:val="single"/>
                <w:lang w:eastAsia="fr-FR"/>
              </w:rPr>
              <w:t>Total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1DB1F66" w14:textId="77777777" w:rsidR="00F270C7" w:rsidRPr="00F270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E50837D" w14:textId="1136F144" w:rsidR="00F270C7" w:rsidRPr="00F270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1 250 M€</w:t>
            </w: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1D140ED" w14:textId="48352700" w:rsidR="00F270C7" w:rsidRPr="00F270C7" w:rsidRDefault="00F270C7" w:rsidP="00F270C7">
            <w:pPr>
              <w:spacing w:after="0" w:line="240" w:lineRule="auto"/>
              <w:jc w:val="center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42%</w:t>
            </w:r>
            <w:r w:rsidRPr="00F270C7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 </w:t>
            </w:r>
          </w:p>
        </w:tc>
      </w:tr>
    </w:tbl>
    <w:p w14:paraId="312A57D6" w14:textId="407873B3" w:rsidR="00184468" w:rsidRDefault="00184468" w:rsidP="00A81A1A">
      <w:pPr>
        <w:spacing w:after="120" w:line="240" w:lineRule="auto"/>
      </w:pPr>
    </w:p>
    <w:p w14:paraId="19756D54" w14:textId="77777777" w:rsidR="00184468" w:rsidRPr="00064595" w:rsidRDefault="00184468" w:rsidP="00A81A1A">
      <w:pPr>
        <w:spacing w:after="120" w:line="240" w:lineRule="auto"/>
      </w:pPr>
      <w:r w:rsidRPr="00064595">
        <w:t xml:space="preserve">1.3. Part verte taxonomique et part fossile (anticipation réglementaire) </w:t>
      </w:r>
    </w:p>
    <w:p w14:paraId="48EFDECC" w14:textId="2BD74655" w:rsidR="00184468" w:rsidRDefault="00184468" w:rsidP="00A81A1A">
      <w:pPr>
        <w:spacing w:after="120" w:line="240" w:lineRule="auto"/>
      </w:pPr>
      <w:r w:rsidRPr="00064595">
        <w:t xml:space="preserve">1.3.1. Part taxonomique 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440"/>
        <w:gridCol w:w="2340"/>
      </w:tblGrid>
      <w:tr w:rsidR="002F1A8F" w:rsidRPr="002F1A8F" w14:paraId="2750B2E7" w14:textId="77777777" w:rsidTr="00CB41C7">
        <w:trPr>
          <w:trHeight w:val="397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6CD52AC4" w14:textId="77777777" w:rsidR="002F1A8F" w:rsidRPr="00CB41C7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Classes, fonds, poches</w:t>
            </w:r>
          </w:p>
        </w:tc>
        <w:tc>
          <w:tcPr>
            <w:tcW w:w="44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48D69F02" w14:textId="77777777" w:rsidR="002F1A8F" w:rsidRPr="00CB41C7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Part taxonomique</w:t>
            </w:r>
          </w:p>
        </w:tc>
        <w:tc>
          <w:tcPr>
            <w:tcW w:w="2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6C9EE8AA" w14:textId="77777777" w:rsidR="002F1A8F" w:rsidRPr="00CB41C7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CB41C7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Part fossile (29 LEC)</w:t>
            </w:r>
          </w:p>
        </w:tc>
      </w:tr>
      <w:tr w:rsidR="002F1A8F" w:rsidRPr="002F1A8F" w14:paraId="535C29C5" w14:textId="77777777" w:rsidTr="002F1A8F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DEC062F" w14:textId="77777777" w:rsidR="002F1A8F" w:rsidRPr="002F1A8F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r w:rsidRPr="002F1A8F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TiLT</w:t>
            </w:r>
            <w:proofErr w:type="spellEnd"/>
            <w:r w:rsidRPr="002F1A8F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Capital </w:t>
            </w:r>
            <w:proofErr w:type="spellStart"/>
            <w:r w:rsidRPr="002F1A8F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Fund</w:t>
            </w:r>
            <w:proofErr w:type="spellEnd"/>
            <w:r w:rsidRPr="002F1A8F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1</w:t>
            </w:r>
            <w:r w:rsidRPr="002F1A8F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(Fonds article 9 SFDR à objectif environnemental)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2B610BE" w14:textId="77777777" w:rsidR="002F1A8F" w:rsidRPr="002F1A8F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</w:pPr>
            <w:r w:rsidRPr="002F1A8F"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  <w:t>&gt; 60%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DAD106E" w14:textId="77777777" w:rsidR="002F1A8F" w:rsidRPr="002F1A8F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</w:pPr>
            <w:r w:rsidRPr="002F1A8F"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  <w:t>0%</w:t>
            </w:r>
          </w:p>
        </w:tc>
      </w:tr>
      <w:tr w:rsidR="002F1A8F" w:rsidRPr="002F1A8F" w14:paraId="79313C9D" w14:textId="77777777" w:rsidTr="002F1A8F">
        <w:trPr>
          <w:trHeight w:val="397"/>
        </w:trPr>
        <w:tc>
          <w:tcPr>
            <w:tcW w:w="32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1BB544B" w14:textId="77777777" w:rsidR="002F1A8F" w:rsidRPr="002F1A8F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2F1A8F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Autres véhicules sous gestion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A9D8009" w14:textId="77777777" w:rsidR="002F1A8F" w:rsidRPr="002F1A8F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</w:pPr>
            <w:r w:rsidRPr="002F1A8F"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  <w:t>&lt;10%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745BB59" w14:textId="77777777" w:rsidR="002F1A8F" w:rsidRPr="002F1A8F" w:rsidRDefault="002F1A8F" w:rsidP="002F1A8F">
            <w:pPr>
              <w:spacing w:after="0" w:line="240" w:lineRule="auto"/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</w:pPr>
            <w:r w:rsidRPr="002F1A8F">
              <w:rPr>
                <w:rFonts w:ascii="Baloo Thambi 2" w:eastAsia="Times New Roman" w:hAnsi="Baloo Thambi 2" w:cs="Arial"/>
                <w:i/>
                <w:iCs/>
                <w:color w:val="002060"/>
                <w:sz w:val="16"/>
                <w:szCs w:val="16"/>
                <w:lang w:eastAsia="fr-FR"/>
              </w:rPr>
              <w:t>0%</w:t>
            </w:r>
          </w:p>
        </w:tc>
      </w:tr>
    </w:tbl>
    <w:p w14:paraId="7CB1F069" w14:textId="77777777" w:rsidR="00064595" w:rsidRPr="00064595" w:rsidRDefault="00064595" w:rsidP="00A81A1A">
      <w:pPr>
        <w:spacing w:after="120" w:line="240" w:lineRule="auto"/>
      </w:pPr>
    </w:p>
    <w:p w14:paraId="23551545" w14:textId="77777777" w:rsidR="002F1A8F" w:rsidRPr="002F1A8F" w:rsidRDefault="002F1A8F" w:rsidP="00A81A1A">
      <w:pPr>
        <w:spacing w:after="120" w:line="240" w:lineRule="auto"/>
        <w:rPr>
          <w:b/>
          <w:bCs/>
          <w:sz w:val="24"/>
          <w:szCs w:val="24"/>
        </w:rPr>
      </w:pPr>
      <w:r w:rsidRPr="002F1A8F">
        <w:rPr>
          <w:b/>
          <w:bCs/>
          <w:sz w:val="24"/>
          <w:szCs w:val="24"/>
        </w:rPr>
        <w:t>2. Gouvernance des enjeux climatiques</w:t>
      </w:r>
    </w:p>
    <w:p w14:paraId="121DC279" w14:textId="77777777" w:rsidR="002F1A8F" w:rsidRDefault="002F1A8F" w:rsidP="00A81A1A">
      <w:pPr>
        <w:spacing w:after="120" w:line="240" w:lineRule="auto"/>
      </w:pPr>
      <w:r>
        <w:t>2.1 Supervision</w:t>
      </w:r>
    </w:p>
    <w:p w14:paraId="5870899F" w14:textId="7AA56E8D" w:rsidR="002F1A8F" w:rsidRDefault="002F1A8F" w:rsidP="00A81A1A">
      <w:pPr>
        <w:spacing w:after="120" w:line="240" w:lineRule="auto"/>
      </w:pPr>
      <w:r>
        <w:t>2.1.1 Instance responsable de la supervision</w:t>
      </w:r>
    </w:p>
    <w:p w14:paraId="7A8E798C" w14:textId="62BA968D" w:rsidR="00CD3F28" w:rsidRDefault="00AF4EAC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La définition </w:t>
      </w:r>
      <w:r w:rsidR="00CC18A1">
        <w:rPr>
          <w:color w:val="002060"/>
        </w:rPr>
        <w:t>et la super</w:t>
      </w:r>
      <w:r w:rsidR="00565869">
        <w:rPr>
          <w:color w:val="002060"/>
        </w:rPr>
        <w:t xml:space="preserve">vision </w:t>
      </w:r>
      <w:r>
        <w:rPr>
          <w:color w:val="002060"/>
        </w:rPr>
        <w:t xml:space="preserve">de la stratégie </w:t>
      </w:r>
      <w:r w:rsidR="00CD3F28">
        <w:rPr>
          <w:color w:val="002060"/>
        </w:rPr>
        <w:t xml:space="preserve">ESG du Groupe Siparex </w:t>
      </w:r>
      <w:r w:rsidR="00D4163E">
        <w:rPr>
          <w:color w:val="002060"/>
        </w:rPr>
        <w:t>dépend directement du</w:t>
      </w:r>
      <w:r>
        <w:rPr>
          <w:color w:val="002060"/>
        </w:rPr>
        <w:t xml:space="preserve"> Comité Exécutif</w:t>
      </w:r>
      <w:r w:rsidR="00F738A3">
        <w:rPr>
          <w:color w:val="002060"/>
        </w:rPr>
        <w:t>, organe de gouvernance stratégique du Groupe Siparex</w:t>
      </w:r>
      <w:r>
        <w:rPr>
          <w:color w:val="002060"/>
        </w:rPr>
        <w:t>. S</w:t>
      </w:r>
      <w:r w:rsidR="00856E79">
        <w:rPr>
          <w:color w:val="002060"/>
        </w:rPr>
        <w:t xml:space="preserve">a mise en œuvre </w:t>
      </w:r>
      <w:r>
        <w:rPr>
          <w:color w:val="002060"/>
        </w:rPr>
        <w:t xml:space="preserve">repose </w:t>
      </w:r>
      <w:r w:rsidR="00856E79">
        <w:rPr>
          <w:color w:val="002060"/>
        </w:rPr>
        <w:t xml:space="preserve">à la fois </w:t>
      </w:r>
      <w:r w:rsidR="00110D0E">
        <w:rPr>
          <w:color w:val="002060"/>
        </w:rPr>
        <w:t xml:space="preserve">sur une Equipe </w:t>
      </w:r>
      <w:r w:rsidR="00110D0E" w:rsidRPr="002F1A8F">
        <w:rPr>
          <w:color w:val="002060"/>
        </w:rPr>
        <w:t>ESG, non spécifique au climat</w:t>
      </w:r>
      <w:r w:rsidR="00110D0E">
        <w:rPr>
          <w:color w:val="002060"/>
        </w:rPr>
        <w:t>, animée par un ESG Manager</w:t>
      </w:r>
      <w:r w:rsidR="00856E79">
        <w:rPr>
          <w:color w:val="002060"/>
        </w:rPr>
        <w:t xml:space="preserve"> ainsi que sur la mobilisation des équipes d’investissement.</w:t>
      </w:r>
    </w:p>
    <w:p w14:paraId="094E184D" w14:textId="1406E62B" w:rsidR="00110D0E" w:rsidRDefault="00110D0E" w:rsidP="00A81A1A">
      <w:pPr>
        <w:spacing w:after="120" w:line="240" w:lineRule="auto"/>
        <w:jc w:val="both"/>
        <w:rPr>
          <w:color w:val="002060"/>
        </w:rPr>
      </w:pPr>
    </w:p>
    <w:p w14:paraId="50FF6667" w14:textId="65FDA4E2" w:rsidR="006714F3" w:rsidRPr="006714F3" w:rsidRDefault="006714F3" w:rsidP="00A81A1A">
      <w:pPr>
        <w:spacing w:after="120" w:line="240" w:lineRule="auto"/>
      </w:pPr>
      <w:r w:rsidRPr="006714F3">
        <w:t>2.1.2 Intégration du climat aux décisions et objectifs conventionnels</w:t>
      </w:r>
    </w:p>
    <w:p w14:paraId="41FD49DA" w14:textId="0DDA9C19" w:rsidR="006714F3" w:rsidRDefault="0003774B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La straté</w:t>
      </w:r>
      <w:r w:rsidR="00427848">
        <w:rPr>
          <w:color w:val="002060"/>
        </w:rPr>
        <w:t xml:space="preserve">gie Climat du Groupe Siparex </w:t>
      </w:r>
      <w:r w:rsidR="00061D8B">
        <w:rPr>
          <w:color w:val="002060"/>
        </w:rPr>
        <w:t>s’articule autour des initiatives suivantes :</w:t>
      </w:r>
    </w:p>
    <w:p w14:paraId="0E1C9FFE" w14:textId="7AAB3820" w:rsidR="00061D8B" w:rsidRDefault="00061D8B" w:rsidP="00A81A1A">
      <w:pPr>
        <w:pStyle w:val="Paragraphedeliste"/>
        <w:numPr>
          <w:ilvl w:val="0"/>
          <w:numId w:val="2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Adhésion en 2020 </w:t>
      </w:r>
      <w:r w:rsidR="00727BC8">
        <w:rPr>
          <w:color w:val="002060"/>
        </w:rPr>
        <w:t xml:space="preserve">et participation active </w:t>
      </w:r>
      <w:r>
        <w:rPr>
          <w:color w:val="002060"/>
        </w:rPr>
        <w:t xml:space="preserve">à l’Initiative Climat International, soutenue par les Principes d’Investissement </w:t>
      </w:r>
      <w:r w:rsidR="0071380B">
        <w:rPr>
          <w:color w:val="002060"/>
        </w:rPr>
        <w:t xml:space="preserve">Responsable de l’ONU (UN PRI), visant à </w:t>
      </w:r>
      <w:r w:rsidR="003946AC">
        <w:rPr>
          <w:color w:val="002060"/>
        </w:rPr>
        <w:t xml:space="preserve">mobiliser </w:t>
      </w:r>
      <w:r w:rsidR="00654459">
        <w:rPr>
          <w:color w:val="002060"/>
        </w:rPr>
        <w:t xml:space="preserve">l’industrie du </w:t>
      </w:r>
      <w:r w:rsidR="00C90517">
        <w:rPr>
          <w:color w:val="002060"/>
        </w:rPr>
        <w:t>Capital-investissement</w:t>
      </w:r>
      <w:r w:rsidR="00654459">
        <w:rPr>
          <w:color w:val="002060"/>
        </w:rPr>
        <w:t xml:space="preserve"> </w:t>
      </w:r>
      <w:r w:rsidR="00654459" w:rsidRPr="00654459">
        <w:rPr>
          <w:color w:val="002060"/>
        </w:rPr>
        <w:t>pour contribuer</w:t>
      </w:r>
      <w:r w:rsidR="00654459">
        <w:rPr>
          <w:color w:val="002060"/>
        </w:rPr>
        <w:t xml:space="preserve"> </w:t>
      </w:r>
      <w:r w:rsidR="00654459" w:rsidRPr="00654459">
        <w:rPr>
          <w:color w:val="002060"/>
        </w:rPr>
        <w:t xml:space="preserve">à l’objectif de </w:t>
      </w:r>
      <w:r w:rsidR="00654459">
        <w:rPr>
          <w:color w:val="002060"/>
        </w:rPr>
        <w:t>l’Accord de Paris</w:t>
      </w:r>
      <w:r w:rsidR="00654459" w:rsidRPr="00654459">
        <w:rPr>
          <w:color w:val="002060"/>
        </w:rPr>
        <w:t xml:space="preserve"> de limiter le réchauffement climatique à </w:t>
      </w:r>
      <w:r w:rsidR="00654459">
        <w:rPr>
          <w:color w:val="002060"/>
        </w:rPr>
        <w:t>2°C.</w:t>
      </w:r>
    </w:p>
    <w:p w14:paraId="6D905BB6" w14:textId="0BBEF1AE" w:rsidR="00F73611" w:rsidRDefault="00552992" w:rsidP="00A81A1A">
      <w:pPr>
        <w:pStyle w:val="Paragraphedeliste"/>
        <w:numPr>
          <w:ilvl w:val="0"/>
          <w:numId w:val="2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Rapprochement en 2021 avec la société de gestion </w:t>
      </w:r>
      <w:proofErr w:type="spellStart"/>
      <w:r>
        <w:rPr>
          <w:color w:val="002060"/>
        </w:rPr>
        <w:t>TiLT</w:t>
      </w:r>
      <w:proofErr w:type="spellEnd"/>
      <w:r>
        <w:rPr>
          <w:color w:val="002060"/>
        </w:rPr>
        <w:t xml:space="preserve"> Capital Partners,</w:t>
      </w:r>
      <w:r w:rsidR="002A19C5" w:rsidRPr="002A19C5">
        <w:rPr>
          <w:color w:val="002060"/>
        </w:rPr>
        <w:t xml:space="preserve"> premier fonds de capital </w:t>
      </w:r>
      <w:proofErr w:type="gramStart"/>
      <w:r w:rsidR="002A19C5" w:rsidRPr="002A19C5">
        <w:rPr>
          <w:color w:val="002060"/>
        </w:rPr>
        <w:t>croissance</w:t>
      </w:r>
      <w:r w:rsidR="000A3274">
        <w:rPr>
          <w:color w:val="002060"/>
        </w:rPr>
        <w:t xml:space="preserve"> </w:t>
      </w:r>
      <w:r w:rsidR="002A19C5" w:rsidRPr="002A19C5">
        <w:rPr>
          <w:color w:val="002060"/>
        </w:rPr>
        <w:t>dédié</w:t>
      </w:r>
      <w:proofErr w:type="gramEnd"/>
      <w:r w:rsidR="002A19C5" w:rsidRPr="002A19C5">
        <w:rPr>
          <w:color w:val="002060"/>
        </w:rPr>
        <w:t xml:space="preserve"> </w:t>
      </w:r>
      <w:r w:rsidR="000A3274">
        <w:rPr>
          <w:color w:val="002060"/>
        </w:rPr>
        <w:t xml:space="preserve">au financement </w:t>
      </w:r>
      <w:r w:rsidR="000A3274" w:rsidRPr="000A3274">
        <w:rPr>
          <w:color w:val="002060"/>
        </w:rPr>
        <w:t>des PME et ETI françaises et européennes</w:t>
      </w:r>
      <w:r w:rsidR="000A3274">
        <w:rPr>
          <w:color w:val="002060"/>
        </w:rPr>
        <w:t xml:space="preserve"> </w:t>
      </w:r>
      <w:r w:rsidR="00F73611">
        <w:rPr>
          <w:color w:val="002060"/>
        </w:rPr>
        <w:t>de</w:t>
      </w:r>
      <w:r w:rsidR="002A19C5" w:rsidRPr="002A19C5">
        <w:rPr>
          <w:color w:val="002060"/>
        </w:rPr>
        <w:t xml:space="preserve"> la transition énergétique</w:t>
      </w:r>
      <w:r w:rsidR="00F73611">
        <w:rPr>
          <w:color w:val="002060"/>
        </w:rPr>
        <w:t xml:space="preserve"> (e</w:t>
      </w:r>
      <w:r w:rsidR="00F73611" w:rsidRPr="00F73611">
        <w:rPr>
          <w:color w:val="002060"/>
        </w:rPr>
        <w:t>ntreprises de l’efficacité énergétique, de la production à la consommation, en passant par les réseaux</w:t>
      </w:r>
      <w:r w:rsidR="00F73611">
        <w:rPr>
          <w:color w:val="002060"/>
        </w:rPr>
        <w:t>).</w:t>
      </w:r>
    </w:p>
    <w:p w14:paraId="5F312571" w14:textId="77777777" w:rsidR="000D185C" w:rsidRDefault="000D185C">
      <w:pPr>
        <w:rPr>
          <w:color w:val="002060"/>
        </w:rPr>
      </w:pPr>
      <w:r>
        <w:rPr>
          <w:color w:val="002060"/>
        </w:rPr>
        <w:br w:type="page"/>
      </w:r>
    </w:p>
    <w:p w14:paraId="7026AADA" w14:textId="2A2EC465" w:rsidR="00654459" w:rsidRDefault="001A1552" w:rsidP="00A81A1A">
      <w:pPr>
        <w:pStyle w:val="Paragraphedeliste"/>
        <w:numPr>
          <w:ilvl w:val="0"/>
          <w:numId w:val="2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lastRenderedPageBreak/>
        <w:t xml:space="preserve">Formalisation en 2022 </w:t>
      </w:r>
      <w:r w:rsidR="00AF6BAD">
        <w:rPr>
          <w:color w:val="002060"/>
        </w:rPr>
        <w:t xml:space="preserve">d’une politique </w:t>
      </w:r>
      <w:r w:rsidR="00876F6A">
        <w:rPr>
          <w:color w:val="002060"/>
        </w:rPr>
        <w:t>RSE</w:t>
      </w:r>
      <w:r w:rsidR="001213F2">
        <w:rPr>
          <w:color w:val="002060"/>
        </w:rPr>
        <w:t xml:space="preserve"> (document interne</w:t>
      </w:r>
      <w:r w:rsidR="001352A1">
        <w:rPr>
          <w:color w:val="002060"/>
        </w:rPr>
        <w:t xml:space="preserve"> </w:t>
      </w:r>
      <w:r w:rsidR="00BC012C">
        <w:rPr>
          <w:color w:val="002060"/>
        </w:rPr>
        <w:t>à ce stade</w:t>
      </w:r>
      <w:r w:rsidR="001213F2">
        <w:rPr>
          <w:color w:val="002060"/>
        </w:rPr>
        <w:t xml:space="preserve">) </w:t>
      </w:r>
      <w:r w:rsidR="000643C8">
        <w:rPr>
          <w:color w:val="002060"/>
        </w:rPr>
        <w:t xml:space="preserve">fixant comme priorité </w:t>
      </w:r>
      <w:r w:rsidR="00BC012C">
        <w:rPr>
          <w:color w:val="002060"/>
        </w:rPr>
        <w:t xml:space="preserve">notamment </w:t>
      </w:r>
      <w:r w:rsidR="009C143C">
        <w:rPr>
          <w:color w:val="002060"/>
        </w:rPr>
        <w:t>la</w:t>
      </w:r>
      <w:r w:rsidR="00AF6BAD">
        <w:rPr>
          <w:color w:val="002060"/>
        </w:rPr>
        <w:t xml:space="preserve"> lutte contre le réchauffement climatique</w:t>
      </w:r>
      <w:r w:rsidR="00BC012C">
        <w:rPr>
          <w:color w:val="002060"/>
        </w:rPr>
        <w:t xml:space="preserve">. </w:t>
      </w:r>
      <w:r w:rsidR="00236575">
        <w:rPr>
          <w:color w:val="002060"/>
        </w:rPr>
        <w:t xml:space="preserve">La mise en œuvre de </w:t>
      </w:r>
      <w:r w:rsidR="00B15FD5">
        <w:rPr>
          <w:color w:val="002060"/>
        </w:rPr>
        <w:t>la stratégie Climat</w:t>
      </w:r>
      <w:r w:rsidR="000643C8">
        <w:rPr>
          <w:color w:val="002060"/>
        </w:rPr>
        <w:t xml:space="preserve"> </w:t>
      </w:r>
      <w:r w:rsidR="004C64D4">
        <w:rPr>
          <w:color w:val="002060"/>
        </w:rPr>
        <w:t>recouvre</w:t>
      </w:r>
      <w:r w:rsidR="000E462A">
        <w:rPr>
          <w:color w:val="002060"/>
        </w:rPr>
        <w:t xml:space="preserve"> les</w:t>
      </w:r>
      <w:r w:rsidR="00D55FE9">
        <w:rPr>
          <w:color w:val="002060"/>
        </w:rPr>
        <w:t xml:space="preserve"> 3 </w:t>
      </w:r>
      <w:r w:rsidR="000E462A">
        <w:rPr>
          <w:color w:val="002060"/>
        </w:rPr>
        <w:t xml:space="preserve">dimensions </w:t>
      </w:r>
      <w:r w:rsidR="001352A1">
        <w:rPr>
          <w:color w:val="002060"/>
        </w:rPr>
        <w:t>suivantes</w:t>
      </w:r>
      <w:r w:rsidR="00D55FE9">
        <w:rPr>
          <w:color w:val="002060"/>
        </w:rPr>
        <w:t> :</w:t>
      </w:r>
    </w:p>
    <w:p w14:paraId="51A39430" w14:textId="77777777" w:rsidR="00EA3D09" w:rsidRDefault="007C49B6" w:rsidP="00A81A1A">
      <w:pPr>
        <w:pStyle w:val="Paragraphedeliste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color w:val="002060"/>
        </w:rPr>
      </w:pPr>
      <w:r>
        <w:rPr>
          <w:color w:val="002060"/>
        </w:rPr>
        <w:t xml:space="preserve">Sociétés de gestion : </w:t>
      </w:r>
    </w:p>
    <w:p w14:paraId="40251A03" w14:textId="405ED377" w:rsidR="00D55FE9" w:rsidRDefault="00EA0C15" w:rsidP="00A81A1A">
      <w:pPr>
        <w:pStyle w:val="Paragraphedeliste"/>
        <w:numPr>
          <w:ilvl w:val="2"/>
          <w:numId w:val="3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>F</w:t>
      </w:r>
      <w:r w:rsidR="00845AE5">
        <w:rPr>
          <w:color w:val="002060"/>
        </w:rPr>
        <w:t>euille de route</w:t>
      </w:r>
      <w:r w:rsidR="00B55C56">
        <w:rPr>
          <w:color w:val="002060"/>
        </w:rPr>
        <w:t xml:space="preserve"> </w:t>
      </w:r>
      <w:r w:rsidR="00AF04C1">
        <w:rPr>
          <w:color w:val="002060"/>
        </w:rPr>
        <w:t>RSE</w:t>
      </w:r>
      <w:r w:rsidR="0012357B">
        <w:rPr>
          <w:color w:val="002060"/>
        </w:rPr>
        <w:t xml:space="preserve"> </w:t>
      </w:r>
      <w:r w:rsidR="00DB2044">
        <w:rPr>
          <w:color w:val="002060"/>
        </w:rPr>
        <w:t>avec un volet Climat comprenant</w:t>
      </w:r>
      <w:r w:rsidR="00A65A5A">
        <w:rPr>
          <w:color w:val="002060"/>
        </w:rPr>
        <w:t xml:space="preserve"> </w:t>
      </w:r>
      <w:r w:rsidR="005D07F2">
        <w:rPr>
          <w:color w:val="002060"/>
        </w:rPr>
        <w:t xml:space="preserve">la réalisation </w:t>
      </w:r>
      <w:r w:rsidR="00485454">
        <w:rPr>
          <w:color w:val="002060"/>
        </w:rPr>
        <w:t>du</w:t>
      </w:r>
      <w:r w:rsidR="005D07F2">
        <w:rPr>
          <w:color w:val="002060"/>
        </w:rPr>
        <w:t xml:space="preserve"> bilan carbone </w:t>
      </w:r>
      <w:r w:rsidR="00495142">
        <w:rPr>
          <w:color w:val="002060"/>
        </w:rPr>
        <w:t>s</w:t>
      </w:r>
      <w:r w:rsidR="005D07F2">
        <w:rPr>
          <w:color w:val="002060"/>
        </w:rPr>
        <w:t xml:space="preserve">cope 1 et 2 et </w:t>
      </w:r>
      <w:r w:rsidR="00A65A5A">
        <w:rPr>
          <w:color w:val="002060"/>
        </w:rPr>
        <w:t xml:space="preserve">une </w:t>
      </w:r>
      <w:r w:rsidR="00D60C46">
        <w:rPr>
          <w:color w:val="002060"/>
        </w:rPr>
        <w:t xml:space="preserve">démarche de labélisation </w:t>
      </w:r>
      <w:proofErr w:type="spellStart"/>
      <w:r w:rsidR="00D60C46">
        <w:rPr>
          <w:color w:val="002060"/>
        </w:rPr>
        <w:t>BCorp</w:t>
      </w:r>
      <w:proofErr w:type="spellEnd"/>
      <w:r w:rsidR="00D60C46">
        <w:rPr>
          <w:color w:val="002060"/>
        </w:rPr>
        <w:t xml:space="preserve"> </w:t>
      </w:r>
      <w:r w:rsidR="00EA6985">
        <w:rPr>
          <w:color w:val="002060"/>
        </w:rPr>
        <w:t>pour les 5 sociétés de gestion du Groupe.</w:t>
      </w:r>
    </w:p>
    <w:p w14:paraId="6F660D8B" w14:textId="745C3FE6" w:rsidR="00235477" w:rsidRDefault="00FB1E71" w:rsidP="00A81A1A">
      <w:pPr>
        <w:pStyle w:val="Paragraphedeliste"/>
        <w:numPr>
          <w:ilvl w:val="2"/>
          <w:numId w:val="3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>P</w:t>
      </w:r>
      <w:r w:rsidR="00907987">
        <w:rPr>
          <w:color w:val="002060"/>
        </w:rPr>
        <w:t xml:space="preserve">rise en compte </w:t>
      </w:r>
      <w:r w:rsidR="00B02FA6">
        <w:rPr>
          <w:color w:val="002060"/>
        </w:rPr>
        <w:t xml:space="preserve">des enjeux climatiques </w:t>
      </w:r>
      <w:r>
        <w:rPr>
          <w:color w:val="002060"/>
        </w:rPr>
        <w:t xml:space="preserve">et intégration d’objectifs climat </w:t>
      </w:r>
      <w:r w:rsidR="00B02FA6">
        <w:rPr>
          <w:color w:val="002060"/>
        </w:rPr>
        <w:t xml:space="preserve">dans la structuration de l’ensemble de nos nouveaux </w:t>
      </w:r>
      <w:r w:rsidR="00684DCD">
        <w:rPr>
          <w:color w:val="002060"/>
        </w:rPr>
        <w:t>véhicules d’investissement.</w:t>
      </w:r>
    </w:p>
    <w:p w14:paraId="16C91CE5" w14:textId="77777777" w:rsidR="000B69F6" w:rsidRDefault="007C49B6" w:rsidP="00A81A1A">
      <w:pPr>
        <w:pStyle w:val="Paragraphedeliste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color w:val="002060"/>
        </w:rPr>
      </w:pPr>
      <w:r>
        <w:rPr>
          <w:color w:val="002060"/>
        </w:rPr>
        <w:t>Équipes de gestion :</w:t>
      </w:r>
      <w:r w:rsidR="005D07F2">
        <w:rPr>
          <w:color w:val="002060"/>
        </w:rPr>
        <w:t xml:space="preserve"> </w:t>
      </w:r>
    </w:p>
    <w:p w14:paraId="3F2ACBE2" w14:textId="45E19D71" w:rsidR="005028D1" w:rsidRDefault="005028D1" w:rsidP="00A81A1A">
      <w:pPr>
        <w:pStyle w:val="Paragraphedeliste"/>
        <w:numPr>
          <w:ilvl w:val="2"/>
          <w:numId w:val="4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 xml:space="preserve">Programme de formation aux enjeux du changement climatique pour l’ensemble des collaborateurs du Groupe prévu </w:t>
      </w:r>
      <w:r w:rsidR="004C0DCF">
        <w:rPr>
          <w:color w:val="002060"/>
        </w:rPr>
        <w:t>en</w:t>
      </w:r>
      <w:r>
        <w:rPr>
          <w:color w:val="002060"/>
        </w:rPr>
        <w:t xml:space="preserve"> 2022.</w:t>
      </w:r>
    </w:p>
    <w:p w14:paraId="634FFA11" w14:textId="6E5DA2AE" w:rsidR="000B69F6" w:rsidRDefault="00380459" w:rsidP="00A81A1A">
      <w:pPr>
        <w:pStyle w:val="Paragraphedeliste"/>
        <w:numPr>
          <w:ilvl w:val="2"/>
          <w:numId w:val="4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>Mise à disposition d’outils d’analyse de la matérialité des enjeux climatiques</w:t>
      </w:r>
      <w:r w:rsidR="007B4DE8">
        <w:rPr>
          <w:color w:val="002060"/>
        </w:rPr>
        <w:t>.</w:t>
      </w:r>
    </w:p>
    <w:p w14:paraId="6959032F" w14:textId="7FF291FC" w:rsidR="007B4DE8" w:rsidRDefault="007B4DE8" w:rsidP="00A81A1A">
      <w:pPr>
        <w:pStyle w:val="Paragraphedeliste"/>
        <w:numPr>
          <w:ilvl w:val="2"/>
          <w:numId w:val="4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>Référencement d’experts du bilan carbone</w:t>
      </w:r>
      <w:r w:rsidR="000502CA">
        <w:rPr>
          <w:color w:val="002060"/>
        </w:rPr>
        <w:t xml:space="preserve">, de </w:t>
      </w:r>
      <w:r w:rsidR="00D2368E">
        <w:rPr>
          <w:color w:val="002060"/>
        </w:rPr>
        <w:t xml:space="preserve">la </w:t>
      </w:r>
      <w:r w:rsidR="0008245F">
        <w:rPr>
          <w:color w:val="002060"/>
        </w:rPr>
        <w:t>définition</w:t>
      </w:r>
      <w:r w:rsidR="000502CA">
        <w:rPr>
          <w:color w:val="002060"/>
        </w:rPr>
        <w:t xml:space="preserve"> </w:t>
      </w:r>
      <w:r w:rsidR="005D09C5">
        <w:rPr>
          <w:color w:val="002060"/>
        </w:rPr>
        <w:t xml:space="preserve">et de la mise en œuvre </w:t>
      </w:r>
      <w:r w:rsidR="00B35038">
        <w:rPr>
          <w:color w:val="002060"/>
        </w:rPr>
        <w:t>de trajectoire</w:t>
      </w:r>
      <w:r w:rsidR="0008245F">
        <w:rPr>
          <w:color w:val="002060"/>
        </w:rPr>
        <w:t>s</w:t>
      </w:r>
      <w:r w:rsidR="00B35038">
        <w:rPr>
          <w:color w:val="002060"/>
        </w:rPr>
        <w:t xml:space="preserve"> </w:t>
      </w:r>
      <w:r w:rsidR="00B35038" w:rsidRPr="00B35038">
        <w:rPr>
          <w:color w:val="002060"/>
        </w:rPr>
        <w:t xml:space="preserve">de réduction des émissions de </w:t>
      </w:r>
      <w:r w:rsidR="003B4DF2">
        <w:rPr>
          <w:color w:val="002060"/>
        </w:rPr>
        <w:t>gaz à effet de serre (</w:t>
      </w:r>
      <w:r w:rsidR="00DD21A9">
        <w:rPr>
          <w:color w:val="002060"/>
        </w:rPr>
        <w:t>« </w:t>
      </w:r>
      <w:r w:rsidR="00EA3D09">
        <w:rPr>
          <w:color w:val="002060"/>
        </w:rPr>
        <w:t>GES</w:t>
      </w:r>
      <w:r w:rsidR="00DD21A9">
        <w:rPr>
          <w:color w:val="002060"/>
        </w:rPr>
        <w:t> » ci-après</w:t>
      </w:r>
      <w:r w:rsidR="003B4DF2">
        <w:rPr>
          <w:color w:val="002060"/>
        </w:rPr>
        <w:t>)</w:t>
      </w:r>
      <w:r w:rsidR="0008245F">
        <w:rPr>
          <w:color w:val="002060"/>
        </w:rPr>
        <w:t xml:space="preserve">. </w:t>
      </w:r>
    </w:p>
    <w:p w14:paraId="1B7BE476" w14:textId="11CC3B00" w:rsidR="007C49B6" w:rsidRDefault="00280EE1" w:rsidP="00A81A1A">
      <w:pPr>
        <w:pStyle w:val="Paragraphedeliste"/>
        <w:numPr>
          <w:ilvl w:val="2"/>
          <w:numId w:val="4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>Au cas par cas</w:t>
      </w:r>
      <w:r w:rsidR="00D14026">
        <w:rPr>
          <w:color w:val="002060"/>
        </w:rPr>
        <w:t>,</w:t>
      </w:r>
      <w:r>
        <w:rPr>
          <w:color w:val="002060"/>
        </w:rPr>
        <w:t xml:space="preserve"> en fonction des attentes des </w:t>
      </w:r>
      <w:r w:rsidR="00D14026">
        <w:rPr>
          <w:color w:val="002060"/>
        </w:rPr>
        <w:t>investisseurs</w:t>
      </w:r>
      <w:r w:rsidR="00914650">
        <w:rPr>
          <w:color w:val="002060"/>
        </w:rPr>
        <w:t xml:space="preserve"> et de la typologie des véhicules d’investissement</w:t>
      </w:r>
      <w:r>
        <w:rPr>
          <w:color w:val="002060"/>
        </w:rPr>
        <w:t>, c</w:t>
      </w:r>
      <w:r w:rsidR="000B69F6">
        <w:rPr>
          <w:color w:val="002060"/>
        </w:rPr>
        <w:t xml:space="preserve">onditionnement </w:t>
      </w:r>
      <w:r>
        <w:rPr>
          <w:color w:val="002060"/>
        </w:rPr>
        <w:t xml:space="preserve">d’une part significative du </w:t>
      </w:r>
      <w:r w:rsidR="00BF5264">
        <w:rPr>
          <w:color w:val="002060"/>
        </w:rPr>
        <w:t xml:space="preserve">bonus de surperformance </w:t>
      </w:r>
      <w:r>
        <w:rPr>
          <w:color w:val="002060"/>
        </w:rPr>
        <w:t>(</w:t>
      </w:r>
      <w:r w:rsidR="005028D1">
        <w:rPr>
          <w:color w:val="002060"/>
        </w:rPr>
        <w:t>jusqu’à</w:t>
      </w:r>
      <w:r>
        <w:rPr>
          <w:color w:val="002060"/>
        </w:rPr>
        <w:t xml:space="preserve"> 50%) à l’atteinte d’objectifs ESG et Climat</w:t>
      </w:r>
      <w:r w:rsidR="000B69F6">
        <w:rPr>
          <w:color w:val="002060"/>
        </w:rPr>
        <w:t>.</w:t>
      </w:r>
    </w:p>
    <w:p w14:paraId="731E9EAC" w14:textId="6054BA54" w:rsidR="007C49B6" w:rsidRDefault="007C49B6" w:rsidP="00A81A1A">
      <w:pPr>
        <w:pStyle w:val="Paragraphedeliste"/>
        <w:numPr>
          <w:ilvl w:val="1"/>
          <w:numId w:val="1"/>
        </w:numPr>
        <w:spacing w:after="120" w:line="240" w:lineRule="auto"/>
        <w:ind w:left="709"/>
        <w:contextualSpacing w:val="0"/>
        <w:jc w:val="both"/>
        <w:rPr>
          <w:color w:val="002060"/>
        </w:rPr>
      </w:pPr>
      <w:r>
        <w:rPr>
          <w:color w:val="002060"/>
        </w:rPr>
        <w:t>Entreprises en portefeuille :</w:t>
      </w:r>
    </w:p>
    <w:p w14:paraId="5D4C8C93" w14:textId="04B9E37D" w:rsidR="00DE61AA" w:rsidRDefault="00DE61AA" w:rsidP="00A81A1A">
      <w:pPr>
        <w:pStyle w:val="Paragraphedeliste"/>
        <w:numPr>
          <w:ilvl w:val="2"/>
          <w:numId w:val="5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 xml:space="preserve">Programme </w:t>
      </w:r>
      <w:r w:rsidR="00AC190E">
        <w:rPr>
          <w:color w:val="002060"/>
        </w:rPr>
        <w:t xml:space="preserve">de conseil et </w:t>
      </w:r>
      <w:r>
        <w:rPr>
          <w:color w:val="002060"/>
        </w:rPr>
        <w:t>d’accompagnement</w:t>
      </w:r>
      <w:r w:rsidR="00AC190E">
        <w:rPr>
          <w:color w:val="002060"/>
        </w:rPr>
        <w:t xml:space="preserve"> à tarif négocié </w:t>
      </w:r>
      <w:r w:rsidR="009C3210">
        <w:rPr>
          <w:color w:val="002060"/>
        </w:rPr>
        <w:t>à l’attention d</w:t>
      </w:r>
      <w:r w:rsidR="00AC190E">
        <w:rPr>
          <w:color w:val="002060"/>
        </w:rPr>
        <w:t xml:space="preserve">es entreprises en portefeuilles du Groupe </w:t>
      </w:r>
      <w:r w:rsidR="009C3210">
        <w:rPr>
          <w:color w:val="002060"/>
        </w:rPr>
        <w:t xml:space="preserve">pour la réalisation d’un bilan carbone et la définition d’une stratégie de réduction des émissions </w:t>
      </w:r>
      <w:r w:rsidR="00317E71">
        <w:rPr>
          <w:color w:val="002060"/>
        </w:rPr>
        <w:t xml:space="preserve">de GES (« Carbon </w:t>
      </w:r>
      <w:proofErr w:type="spellStart"/>
      <w:r w:rsidR="00317E71">
        <w:rPr>
          <w:color w:val="002060"/>
        </w:rPr>
        <w:t>Footprint</w:t>
      </w:r>
      <w:proofErr w:type="spellEnd"/>
      <w:r w:rsidR="00317E71">
        <w:rPr>
          <w:color w:val="002060"/>
        </w:rPr>
        <w:t xml:space="preserve"> Program »)</w:t>
      </w:r>
      <w:r w:rsidR="009C3210">
        <w:rPr>
          <w:color w:val="002060"/>
        </w:rPr>
        <w:t>.</w:t>
      </w:r>
    </w:p>
    <w:p w14:paraId="71FEEE37" w14:textId="7A6B39AC" w:rsidR="008738CF" w:rsidRPr="008738CF" w:rsidRDefault="009C3210" w:rsidP="00A81A1A">
      <w:pPr>
        <w:pStyle w:val="Paragraphedeliste"/>
        <w:numPr>
          <w:ilvl w:val="2"/>
          <w:numId w:val="5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 xml:space="preserve">Outil de suivi annuel de l’empreinte carbone </w:t>
      </w:r>
      <w:r w:rsidR="00E118D7">
        <w:rPr>
          <w:color w:val="002060"/>
        </w:rPr>
        <w:t>s</w:t>
      </w:r>
      <w:r w:rsidR="00685845">
        <w:rPr>
          <w:color w:val="002060"/>
        </w:rPr>
        <w:t xml:space="preserve">cope 1 et 2 </w:t>
      </w:r>
      <w:r>
        <w:rPr>
          <w:color w:val="002060"/>
        </w:rPr>
        <w:t xml:space="preserve">mis à disposition </w:t>
      </w:r>
      <w:r w:rsidR="00685845">
        <w:rPr>
          <w:color w:val="002060"/>
        </w:rPr>
        <w:t>des entreprises en portefeuille.</w:t>
      </w:r>
    </w:p>
    <w:p w14:paraId="69ADD374" w14:textId="4CE88889" w:rsidR="00685845" w:rsidRDefault="00D85650" w:rsidP="00A81A1A">
      <w:pPr>
        <w:pStyle w:val="Paragraphedeliste"/>
        <w:numPr>
          <w:ilvl w:val="2"/>
          <w:numId w:val="5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 xml:space="preserve">Au cas par cas, </w:t>
      </w:r>
      <w:r w:rsidRPr="00D85650">
        <w:rPr>
          <w:color w:val="002060"/>
        </w:rPr>
        <w:t xml:space="preserve">conditionnement du bonus de surperformance à l’atteinte d’objectifs </w:t>
      </w:r>
      <w:r w:rsidR="00B65A23">
        <w:rPr>
          <w:color w:val="002060"/>
        </w:rPr>
        <w:t xml:space="preserve">de </w:t>
      </w:r>
      <w:r w:rsidR="00E01428">
        <w:rPr>
          <w:color w:val="002060"/>
        </w:rPr>
        <w:t xml:space="preserve">réduction sinon de </w:t>
      </w:r>
      <w:r w:rsidR="005526DE">
        <w:rPr>
          <w:color w:val="002060"/>
        </w:rPr>
        <w:t xml:space="preserve">maîtrise des émissions de </w:t>
      </w:r>
      <w:r w:rsidR="00E01428">
        <w:rPr>
          <w:color w:val="002060"/>
        </w:rPr>
        <w:t>GES</w:t>
      </w:r>
      <w:r w:rsidRPr="00D85650">
        <w:rPr>
          <w:color w:val="002060"/>
        </w:rPr>
        <w:t>.</w:t>
      </w:r>
    </w:p>
    <w:p w14:paraId="2DBCBA03" w14:textId="12B53F8C" w:rsidR="008738CF" w:rsidRPr="00061D8B" w:rsidRDefault="008738CF" w:rsidP="00A81A1A">
      <w:pPr>
        <w:pStyle w:val="Paragraphedeliste"/>
        <w:numPr>
          <w:ilvl w:val="2"/>
          <w:numId w:val="5"/>
        </w:numPr>
        <w:spacing w:after="240" w:line="240" w:lineRule="auto"/>
        <w:ind w:left="1134" w:hanging="357"/>
        <w:contextualSpacing w:val="0"/>
        <w:jc w:val="both"/>
        <w:rPr>
          <w:color w:val="002060"/>
        </w:rPr>
      </w:pPr>
      <w:r>
        <w:rPr>
          <w:color w:val="002060"/>
        </w:rPr>
        <w:t>Au cas par cas</w:t>
      </w:r>
      <w:r w:rsidR="008158FE">
        <w:rPr>
          <w:color w:val="002060"/>
        </w:rPr>
        <w:t>,</w:t>
      </w:r>
      <w:r>
        <w:rPr>
          <w:color w:val="002060"/>
        </w:rPr>
        <w:t xml:space="preserve"> dans le cadre de nos activités de dette privée, </w:t>
      </w:r>
      <w:r w:rsidR="00411862">
        <w:rPr>
          <w:color w:val="002060"/>
        </w:rPr>
        <w:t xml:space="preserve">ajustement du </w:t>
      </w:r>
      <w:r w:rsidR="00EB457A">
        <w:rPr>
          <w:color w:val="002060"/>
        </w:rPr>
        <w:t>taux d’</w:t>
      </w:r>
      <w:r w:rsidR="00411862">
        <w:rPr>
          <w:color w:val="002060"/>
        </w:rPr>
        <w:t>intérêt</w:t>
      </w:r>
      <w:r w:rsidRPr="00D85650">
        <w:rPr>
          <w:color w:val="002060"/>
        </w:rPr>
        <w:t xml:space="preserve"> </w:t>
      </w:r>
      <w:r w:rsidR="00411862">
        <w:rPr>
          <w:color w:val="002060"/>
        </w:rPr>
        <w:t>en fonction de</w:t>
      </w:r>
      <w:r w:rsidRPr="00D85650">
        <w:rPr>
          <w:color w:val="002060"/>
        </w:rPr>
        <w:t xml:space="preserve"> l’atteinte d’objectifs </w:t>
      </w:r>
      <w:r w:rsidR="008158FE">
        <w:rPr>
          <w:color w:val="002060"/>
        </w:rPr>
        <w:t>climat</w:t>
      </w:r>
      <w:r w:rsidRPr="00D85650">
        <w:rPr>
          <w:color w:val="002060"/>
        </w:rPr>
        <w:t>.</w:t>
      </w:r>
    </w:p>
    <w:p w14:paraId="797E7782" w14:textId="4E4A73C6" w:rsidR="006714F3" w:rsidRDefault="00460F56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Le suivi de la mise en œuvre de la politique climat du Groupe est </w:t>
      </w:r>
      <w:r w:rsidR="000370EA">
        <w:rPr>
          <w:color w:val="002060"/>
        </w:rPr>
        <w:t>placé sous la responsabilité du Comité Exécutif</w:t>
      </w:r>
      <w:r w:rsidR="00705681">
        <w:rPr>
          <w:color w:val="002060"/>
        </w:rPr>
        <w:t xml:space="preserve"> et plus spécifiquement de la </w:t>
      </w:r>
      <w:r w:rsidR="00D907F4">
        <w:rPr>
          <w:color w:val="002060"/>
        </w:rPr>
        <w:t xml:space="preserve">Directrice des </w:t>
      </w:r>
      <w:r w:rsidR="006809C1">
        <w:rPr>
          <w:color w:val="002060"/>
        </w:rPr>
        <w:t>O</w:t>
      </w:r>
      <w:r w:rsidR="00D907F4">
        <w:rPr>
          <w:color w:val="002060"/>
        </w:rPr>
        <w:t>pérations (</w:t>
      </w:r>
      <w:r w:rsidR="00DD21A9">
        <w:rPr>
          <w:color w:val="002060"/>
        </w:rPr>
        <w:t>« </w:t>
      </w:r>
      <w:r w:rsidR="00D907F4">
        <w:rPr>
          <w:color w:val="002060"/>
        </w:rPr>
        <w:t xml:space="preserve">Chief Operating </w:t>
      </w:r>
      <w:proofErr w:type="spellStart"/>
      <w:r w:rsidR="00D907F4">
        <w:rPr>
          <w:color w:val="002060"/>
        </w:rPr>
        <w:t>Officer</w:t>
      </w:r>
      <w:proofErr w:type="spellEnd"/>
      <w:r w:rsidR="00DD21A9">
        <w:rPr>
          <w:color w:val="002060"/>
        </w:rPr>
        <w:t> »</w:t>
      </w:r>
      <w:r w:rsidR="00CA5E40">
        <w:rPr>
          <w:color w:val="002060"/>
        </w:rPr>
        <w:t xml:space="preserve"> ou </w:t>
      </w:r>
      <w:r w:rsidR="00DD21A9">
        <w:rPr>
          <w:color w:val="002060"/>
        </w:rPr>
        <w:t>« </w:t>
      </w:r>
      <w:r w:rsidR="00CA5E40">
        <w:rPr>
          <w:color w:val="002060"/>
        </w:rPr>
        <w:t>COO</w:t>
      </w:r>
      <w:r w:rsidR="00DD21A9">
        <w:rPr>
          <w:color w:val="002060"/>
        </w:rPr>
        <w:t> » ci-après</w:t>
      </w:r>
      <w:r w:rsidR="00D907F4">
        <w:rPr>
          <w:color w:val="002060"/>
        </w:rPr>
        <w:t>)</w:t>
      </w:r>
      <w:r w:rsidR="00CA4D9E">
        <w:rPr>
          <w:color w:val="002060"/>
        </w:rPr>
        <w:t xml:space="preserve">. </w:t>
      </w:r>
    </w:p>
    <w:p w14:paraId="79915F34" w14:textId="77777777" w:rsidR="00460F56" w:rsidRDefault="00460F56" w:rsidP="00A81A1A">
      <w:pPr>
        <w:spacing w:after="120" w:line="240" w:lineRule="auto"/>
        <w:jc w:val="both"/>
        <w:rPr>
          <w:color w:val="002060"/>
        </w:rPr>
      </w:pPr>
    </w:p>
    <w:p w14:paraId="24C3860E" w14:textId="77777777" w:rsidR="00110D0E" w:rsidRPr="00110D0E" w:rsidRDefault="00110D0E" w:rsidP="00A81A1A">
      <w:pPr>
        <w:spacing w:after="120" w:line="240" w:lineRule="auto"/>
        <w:jc w:val="both"/>
      </w:pPr>
      <w:r w:rsidRPr="00110D0E">
        <w:t>2.2. Préparation et suivi</w:t>
      </w:r>
    </w:p>
    <w:p w14:paraId="7BFA7B75" w14:textId="77777777" w:rsidR="00110D0E" w:rsidRPr="00110D0E" w:rsidRDefault="00110D0E" w:rsidP="00A81A1A">
      <w:pPr>
        <w:spacing w:after="120" w:line="240" w:lineRule="auto"/>
        <w:jc w:val="both"/>
      </w:pPr>
      <w:r w:rsidRPr="00110D0E">
        <w:t>2.2.1 Comités internes dédiés au climat</w:t>
      </w:r>
    </w:p>
    <w:p w14:paraId="26E918B4" w14:textId="5A8699BD" w:rsidR="00E6495D" w:rsidRDefault="00EF4B31" w:rsidP="00A81A1A">
      <w:pPr>
        <w:pStyle w:val="Paragraphedeliste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Un C</w:t>
      </w:r>
      <w:r w:rsidR="00110D0E" w:rsidRPr="00CD485D">
        <w:rPr>
          <w:color w:val="002060"/>
        </w:rPr>
        <w:t>omité ESG</w:t>
      </w:r>
      <w:r>
        <w:rPr>
          <w:color w:val="002060"/>
        </w:rPr>
        <w:t xml:space="preserve"> ad hoc</w:t>
      </w:r>
      <w:r w:rsidR="00110D0E" w:rsidRPr="00CD485D">
        <w:rPr>
          <w:color w:val="002060"/>
        </w:rPr>
        <w:t>, non spécifique au climat</w:t>
      </w:r>
      <w:r w:rsidR="00CD485D">
        <w:rPr>
          <w:color w:val="002060"/>
        </w:rPr>
        <w:t xml:space="preserve">, </w:t>
      </w:r>
      <w:r w:rsidR="00F933ED">
        <w:rPr>
          <w:color w:val="002060"/>
        </w:rPr>
        <w:t xml:space="preserve">composé </w:t>
      </w:r>
      <w:r w:rsidR="00AC6E8E">
        <w:rPr>
          <w:color w:val="002060"/>
        </w:rPr>
        <w:t>d’une dizaine de</w:t>
      </w:r>
      <w:r w:rsidR="00F933ED">
        <w:rPr>
          <w:color w:val="002060"/>
        </w:rPr>
        <w:t xml:space="preserve"> membres</w:t>
      </w:r>
      <w:r w:rsidR="00CA5E40">
        <w:rPr>
          <w:color w:val="002060"/>
        </w:rPr>
        <w:t>,</w:t>
      </w:r>
      <w:r w:rsidR="00F933ED">
        <w:rPr>
          <w:color w:val="002060"/>
        </w:rPr>
        <w:t xml:space="preserve"> </w:t>
      </w:r>
      <w:r w:rsidR="00CA5E40">
        <w:rPr>
          <w:color w:val="002060"/>
        </w:rPr>
        <w:t xml:space="preserve">réunissant notamment 3 membres du Comité Exécutif dont la COO, </w:t>
      </w:r>
      <w:r w:rsidR="007403C9">
        <w:rPr>
          <w:color w:val="002060"/>
        </w:rPr>
        <w:t>l’ESG Manager</w:t>
      </w:r>
      <w:r w:rsidR="007E633C">
        <w:rPr>
          <w:color w:val="002060"/>
        </w:rPr>
        <w:t xml:space="preserve">, 1 membre de l’équipe </w:t>
      </w:r>
      <w:proofErr w:type="spellStart"/>
      <w:r w:rsidR="007E633C">
        <w:rPr>
          <w:color w:val="002060"/>
        </w:rPr>
        <w:t>TiLT</w:t>
      </w:r>
      <w:proofErr w:type="spellEnd"/>
      <w:r w:rsidR="007E633C">
        <w:rPr>
          <w:color w:val="002060"/>
        </w:rPr>
        <w:t xml:space="preserve"> Capital Partners, 1 membre de l’équipe</w:t>
      </w:r>
      <w:r w:rsidR="004C0DCF">
        <w:rPr>
          <w:color w:val="002060"/>
        </w:rPr>
        <w:t xml:space="preserve"> I</w:t>
      </w:r>
      <w:r w:rsidR="007E633C">
        <w:rPr>
          <w:color w:val="002060"/>
        </w:rPr>
        <w:t xml:space="preserve">mpact </w:t>
      </w:r>
      <w:proofErr w:type="spellStart"/>
      <w:r w:rsidR="009D3EB0">
        <w:rPr>
          <w:color w:val="002060"/>
        </w:rPr>
        <w:t>investing</w:t>
      </w:r>
      <w:proofErr w:type="spellEnd"/>
      <w:r w:rsidR="009D3EB0">
        <w:rPr>
          <w:color w:val="002060"/>
        </w:rPr>
        <w:t xml:space="preserve"> de Siparex</w:t>
      </w:r>
      <w:r w:rsidR="00C61204">
        <w:rPr>
          <w:color w:val="002060"/>
        </w:rPr>
        <w:t>.</w:t>
      </w:r>
      <w:r w:rsidR="00303CBE">
        <w:rPr>
          <w:color w:val="002060"/>
        </w:rPr>
        <w:t xml:space="preserve"> </w:t>
      </w:r>
      <w:r w:rsidR="00A54791">
        <w:rPr>
          <w:color w:val="002060"/>
        </w:rPr>
        <w:t xml:space="preserve">Ce Comité se réunit </w:t>
      </w:r>
      <w:proofErr w:type="gramStart"/>
      <w:r w:rsidR="00A54791">
        <w:rPr>
          <w:color w:val="002060"/>
        </w:rPr>
        <w:t>a</w:t>
      </w:r>
      <w:proofErr w:type="gramEnd"/>
      <w:r w:rsidR="00A54791">
        <w:rPr>
          <w:color w:val="002060"/>
        </w:rPr>
        <w:t xml:space="preserve"> minima une fois par </w:t>
      </w:r>
      <w:r w:rsidR="004C0DCF">
        <w:rPr>
          <w:color w:val="002060"/>
        </w:rPr>
        <w:t>trimestre</w:t>
      </w:r>
      <w:r w:rsidR="00A54791">
        <w:rPr>
          <w:color w:val="002060"/>
        </w:rPr>
        <w:t xml:space="preserve"> </w:t>
      </w:r>
      <w:r w:rsidR="00CE0600">
        <w:rPr>
          <w:color w:val="002060"/>
        </w:rPr>
        <w:t>et est présidé par la COO de Siparex. Il participe au renforcement de la stratégie Climat du Groupe</w:t>
      </w:r>
      <w:r w:rsidR="002518EB">
        <w:rPr>
          <w:color w:val="002060"/>
        </w:rPr>
        <w:t xml:space="preserve"> et a vocation à </w:t>
      </w:r>
      <w:proofErr w:type="spellStart"/>
      <w:r w:rsidR="00E0596C">
        <w:rPr>
          <w:color w:val="002060"/>
        </w:rPr>
        <w:t>co-construire</w:t>
      </w:r>
      <w:proofErr w:type="spellEnd"/>
      <w:r w:rsidR="00E0596C">
        <w:rPr>
          <w:color w:val="002060"/>
        </w:rPr>
        <w:t xml:space="preserve"> des solutions opérationnelles aux enjeux de la lutte contre le changement climatique.</w:t>
      </w:r>
    </w:p>
    <w:p w14:paraId="2D95C341" w14:textId="76A7848D" w:rsidR="00250E1F" w:rsidRDefault="001E4A5B" w:rsidP="00A81A1A">
      <w:pPr>
        <w:pStyle w:val="Paragraphedeliste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Par </w:t>
      </w:r>
      <w:r w:rsidR="00D6176E">
        <w:rPr>
          <w:color w:val="002060"/>
        </w:rPr>
        <w:t>essence</w:t>
      </w:r>
      <w:r>
        <w:rPr>
          <w:color w:val="002060"/>
        </w:rPr>
        <w:t xml:space="preserve">, </w:t>
      </w:r>
      <w:r w:rsidR="00910053">
        <w:rPr>
          <w:color w:val="002060"/>
        </w:rPr>
        <w:t xml:space="preserve">les fonds intégrant désormais des objectifs climat (a minima des objectifs de moyens), </w:t>
      </w:r>
      <w:r w:rsidR="00D6176E">
        <w:rPr>
          <w:color w:val="002060"/>
        </w:rPr>
        <w:t>l</w:t>
      </w:r>
      <w:r w:rsidR="00250E1F">
        <w:rPr>
          <w:color w:val="002060"/>
        </w:rPr>
        <w:t xml:space="preserve">e Directoire de chaque activité d’investissement, </w:t>
      </w:r>
      <w:r w:rsidR="00C457A5">
        <w:rPr>
          <w:color w:val="002060"/>
        </w:rPr>
        <w:t xml:space="preserve">en vertu de </w:t>
      </w:r>
      <w:r w:rsidR="004171D7">
        <w:rPr>
          <w:color w:val="002060"/>
        </w:rPr>
        <w:t>sa</w:t>
      </w:r>
      <w:r w:rsidR="00C457A5">
        <w:rPr>
          <w:color w:val="002060"/>
        </w:rPr>
        <w:t xml:space="preserve"> responsabilité </w:t>
      </w:r>
      <w:r w:rsidR="00D6176E">
        <w:rPr>
          <w:color w:val="002060"/>
        </w:rPr>
        <w:t xml:space="preserve">règlementaire </w:t>
      </w:r>
      <w:r w:rsidR="00DD21A9">
        <w:rPr>
          <w:color w:val="002060"/>
        </w:rPr>
        <w:t>d</w:t>
      </w:r>
      <w:r w:rsidR="00910053">
        <w:rPr>
          <w:color w:val="002060"/>
        </w:rPr>
        <w:t>ans</w:t>
      </w:r>
      <w:r w:rsidR="00C457A5">
        <w:rPr>
          <w:color w:val="002060"/>
        </w:rPr>
        <w:t xml:space="preserve"> la mise en œuvre de </w:t>
      </w:r>
      <w:r w:rsidR="004171D7">
        <w:rPr>
          <w:color w:val="002060"/>
        </w:rPr>
        <w:t xml:space="preserve">la politique d’investissement des </w:t>
      </w:r>
      <w:r w:rsidR="000F7F65">
        <w:rPr>
          <w:color w:val="002060"/>
        </w:rPr>
        <w:t>véhicules d’investissement</w:t>
      </w:r>
      <w:r w:rsidR="00DD21A9">
        <w:rPr>
          <w:color w:val="002060"/>
        </w:rPr>
        <w:t xml:space="preserve"> sous gestion</w:t>
      </w:r>
      <w:r w:rsidR="006F1B3A">
        <w:rPr>
          <w:color w:val="002060"/>
        </w:rPr>
        <w:t xml:space="preserve"> (également nommé « fonds » ci-après)</w:t>
      </w:r>
      <w:r w:rsidR="00A84D57">
        <w:rPr>
          <w:color w:val="002060"/>
        </w:rPr>
        <w:t>.</w:t>
      </w:r>
    </w:p>
    <w:p w14:paraId="4994A0DA" w14:textId="77777777" w:rsidR="00A84D57" w:rsidRPr="00A84D57" w:rsidRDefault="00A84D57" w:rsidP="00A81A1A">
      <w:pPr>
        <w:spacing w:after="120" w:line="240" w:lineRule="auto"/>
        <w:jc w:val="both"/>
        <w:rPr>
          <w:color w:val="002060"/>
        </w:rPr>
      </w:pPr>
    </w:p>
    <w:p w14:paraId="65393A78" w14:textId="149F12FA" w:rsidR="00110D0E" w:rsidRPr="00110D0E" w:rsidRDefault="00110D0E" w:rsidP="00A81A1A">
      <w:pPr>
        <w:spacing w:after="120" w:line="240" w:lineRule="auto"/>
        <w:jc w:val="both"/>
        <w:rPr>
          <w:color w:val="002060"/>
        </w:rPr>
      </w:pPr>
      <w:r w:rsidRPr="00D40C84">
        <w:t>2.2.2 Dispositif de suivi de la stratégie climat</w:t>
      </w:r>
    </w:p>
    <w:p w14:paraId="2A914869" w14:textId="388F7F76" w:rsidR="00C43D4C" w:rsidRDefault="00BF455B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L</w:t>
      </w:r>
      <w:r w:rsidR="007827B3">
        <w:rPr>
          <w:color w:val="002060"/>
        </w:rPr>
        <w:t xml:space="preserve">’ensemble de nos </w:t>
      </w:r>
      <w:r w:rsidR="00D97837">
        <w:rPr>
          <w:color w:val="002060"/>
        </w:rPr>
        <w:t>vé</w:t>
      </w:r>
      <w:r w:rsidR="006F1B3A">
        <w:rPr>
          <w:color w:val="002060"/>
        </w:rPr>
        <w:t>h</w:t>
      </w:r>
      <w:r w:rsidR="00D97837">
        <w:rPr>
          <w:color w:val="002060"/>
        </w:rPr>
        <w:t>i</w:t>
      </w:r>
      <w:r w:rsidR="006F1B3A">
        <w:rPr>
          <w:color w:val="002060"/>
        </w:rPr>
        <w:t>cules d’investissement</w:t>
      </w:r>
      <w:r w:rsidR="007827B3">
        <w:rPr>
          <w:color w:val="002060"/>
        </w:rPr>
        <w:t xml:space="preserve"> </w:t>
      </w:r>
      <w:r w:rsidR="00D97837">
        <w:rPr>
          <w:color w:val="002060"/>
        </w:rPr>
        <w:t xml:space="preserve">positionnés </w:t>
      </w:r>
      <w:r w:rsidR="006F1B3A">
        <w:rPr>
          <w:color w:val="002060"/>
        </w:rPr>
        <w:t xml:space="preserve">sous l’article 8 </w:t>
      </w:r>
      <w:r>
        <w:rPr>
          <w:color w:val="002060"/>
        </w:rPr>
        <w:t xml:space="preserve">ou l’article 9 </w:t>
      </w:r>
      <w:r w:rsidR="006F1B3A">
        <w:rPr>
          <w:color w:val="002060"/>
        </w:rPr>
        <w:t xml:space="preserve">au sens de la règlementation européenne </w:t>
      </w:r>
      <w:r w:rsidR="00764121">
        <w:rPr>
          <w:color w:val="002060"/>
        </w:rPr>
        <w:t>« </w:t>
      </w:r>
      <w:proofErr w:type="spellStart"/>
      <w:r w:rsidR="00764121" w:rsidRPr="00764121">
        <w:rPr>
          <w:color w:val="002060"/>
        </w:rPr>
        <w:t>Sustainable</w:t>
      </w:r>
      <w:proofErr w:type="spellEnd"/>
      <w:r w:rsidR="00764121" w:rsidRPr="00764121">
        <w:rPr>
          <w:color w:val="002060"/>
        </w:rPr>
        <w:t xml:space="preserve"> Finance Disclosure </w:t>
      </w:r>
      <w:proofErr w:type="spellStart"/>
      <w:r w:rsidR="00764121" w:rsidRPr="00764121">
        <w:rPr>
          <w:color w:val="002060"/>
        </w:rPr>
        <w:t>Regulation</w:t>
      </w:r>
      <w:proofErr w:type="spellEnd"/>
      <w:r w:rsidR="00764121">
        <w:rPr>
          <w:color w:val="002060"/>
        </w:rPr>
        <w:t> »</w:t>
      </w:r>
      <w:r w:rsidR="00764121" w:rsidRPr="00764121">
        <w:rPr>
          <w:color w:val="002060"/>
        </w:rPr>
        <w:t xml:space="preserve"> </w:t>
      </w:r>
      <w:r w:rsidR="00764121">
        <w:rPr>
          <w:color w:val="002060"/>
        </w:rPr>
        <w:t>(« </w:t>
      </w:r>
      <w:r w:rsidR="006F1B3A">
        <w:rPr>
          <w:color w:val="002060"/>
        </w:rPr>
        <w:t>SFDR</w:t>
      </w:r>
      <w:r w:rsidR="00764121">
        <w:rPr>
          <w:color w:val="002060"/>
        </w:rPr>
        <w:t xml:space="preserve"> </w:t>
      </w:r>
      <w:r>
        <w:rPr>
          <w:color w:val="002060"/>
        </w:rPr>
        <w:t xml:space="preserve">ci-après) réalisent </w:t>
      </w:r>
      <w:r w:rsidR="00FE28E3">
        <w:rPr>
          <w:color w:val="002060"/>
        </w:rPr>
        <w:t xml:space="preserve">un diagnostic ESG et Climat </w:t>
      </w:r>
      <w:r w:rsidR="005024A5">
        <w:rPr>
          <w:color w:val="002060"/>
        </w:rPr>
        <w:t>lors de l’investissement</w:t>
      </w:r>
      <w:r w:rsidR="00F20859">
        <w:rPr>
          <w:color w:val="002060"/>
        </w:rPr>
        <w:t xml:space="preserve">. Ce dernier </w:t>
      </w:r>
      <w:r w:rsidR="009A4E5F">
        <w:rPr>
          <w:color w:val="002060"/>
        </w:rPr>
        <w:t xml:space="preserve">permet </w:t>
      </w:r>
      <w:r w:rsidR="00A60E33">
        <w:rPr>
          <w:color w:val="002060"/>
        </w:rPr>
        <w:t>de définir des objectifs</w:t>
      </w:r>
      <w:r w:rsidR="009A4E5F">
        <w:rPr>
          <w:color w:val="002060"/>
        </w:rPr>
        <w:t xml:space="preserve"> ESG &amp; Climat</w:t>
      </w:r>
      <w:r w:rsidR="00C43D4C">
        <w:rPr>
          <w:color w:val="002060"/>
        </w:rPr>
        <w:t> </w:t>
      </w:r>
      <w:r w:rsidR="002F2559">
        <w:rPr>
          <w:color w:val="002060"/>
        </w:rPr>
        <w:t xml:space="preserve">pour chacune des </w:t>
      </w:r>
      <w:r w:rsidR="00C2064B">
        <w:rPr>
          <w:color w:val="002060"/>
        </w:rPr>
        <w:t>entreprises investies</w:t>
      </w:r>
      <w:r w:rsidR="002F2559">
        <w:rPr>
          <w:color w:val="002060"/>
        </w:rPr>
        <w:t xml:space="preserve"> </w:t>
      </w:r>
      <w:r w:rsidR="00C43D4C">
        <w:rPr>
          <w:color w:val="002060"/>
        </w:rPr>
        <w:t xml:space="preserve">; </w:t>
      </w:r>
      <w:r w:rsidR="00D32F57">
        <w:rPr>
          <w:color w:val="002060"/>
        </w:rPr>
        <w:t xml:space="preserve">avec a minima des objectifs de moyens comme la réalisation d’un bilan carbone complet (scope 1, 2 et 3) </w:t>
      </w:r>
      <w:r w:rsidR="00C43D4C">
        <w:rPr>
          <w:color w:val="002060"/>
        </w:rPr>
        <w:t>jusqu’à la formalisation d’une trajectoire de réduction des émissions de GES alignée avec les accords de Paris.</w:t>
      </w:r>
    </w:p>
    <w:p w14:paraId="67B8A8D4" w14:textId="4557CC98" w:rsidR="00110D0E" w:rsidRDefault="00C2064B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Nous suivons </w:t>
      </w:r>
      <w:r w:rsidR="00072474">
        <w:rPr>
          <w:color w:val="002060"/>
        </w:rPr>
        <w:t>les impacts ESG et Climat de nos entreprises en portefeuille via un questionnaire ESG et Climat annuel</w:t>
      </w:r>
      <w:r w:rsidR="007B1341">
        <w:rPr>
          <w:color w:val="002060"/>
        </w:rPr>
        <w:t xml:space="preserve"> mis à disposition via une interface web dédiée (Platform by Reporting21</w:t>
      </w:r>
      <w:r w:rsidR="00697D4C">
        <w:rPr>
          <w:color w:val="002060"/>
        </w:rPr>
        <w:t xml:space="preserve">, solution SaaS </w:t>
      </w:r>
      <w:r w:rsidR="003B4CF3">
        <w:rPr>
          <w:color w:val="002060"/>
        </w:rPr>
        <w:t xml:space="preserve">de </w:t>
      </w:r>
      <w:proofErr w:type="spellStart"/>
      <w:r w:rsidR="003B4CF3">
        <w:rPr>
          <w:color w:val="002060"/>
        </w:rPr>
        <w:t>reporting</w:t>
      </w:r>
      <w:proofErr w:type="spellEnd"/>
      <w:r w:rsidR="003B4CF3">
        <w:rPr>
          <w:color w:val="002060"/>
        </w:rPr>
        <w:t xml:space="preserve"> ESG éditée par SIRSA). </w:t>
      </w:r>
      <w:r w:rsidR="00277C75">
        <w:rPr>
          <w:color w:val="002060"/>
        </w:rPr>
        <w:t xml:space="preserve">Cet outil </w:t>
      </w:r>
      <w:r w:rsidR="00315CC4">
        <w:rPr>
          <w:color w:val="002060"/>
        </w:rPr>
        <w:t xml:space="preserve">assure également le </w:t>
      </w:r>
      <w:r w:rsidR="00315CC4" w:rsidRPr="00315CC4">
        <w:rPr>
          <w:color w:val="002060"/>
        </w:rPr>
        <w:t xml:space="preserve">suivi annuel de l’empreinte carbone </w:t>
      </w:r>
      <w:r w:rsidR="00A731BC">
        <w:rPr>
          <w:color w:val="002060"/>
        </w:rPr>
        <w:t>(</w:t>
      </w:r>
      <w:r w:rsidR="00315CC4" w:rsidRPr="00315CC4">
        <w:rPr>
          <w:color w:val="002060"/>
        </w:rPr>
        <w:t xml:space="preserve">scope 1 et </w:t>
      </w:r>
      <w:r w:rsidR="00A731BC">
        <w:rPr>
          <w:color w:val="002060"/>
        </w:rPr>
        <w:t>2) des entreprises en portefeuilles du Groupe Siparex le cas échéant via l</w:t>
      </w:r>
      <w:r w:rsidR="00C6073A">
        <w:rPr>
          <w:color w:val="002060"/>
        </w:rPr>
        <w:t>es déclarations de consommation annuelle d’énergies.</w:t>
      </w:r>
    </w:p>
    <w:p w14:paraId="36697188" w14:textId="0EB5F6EC" w:rsidR="00C6073A" w:rsidRDefault="00AA64E4" w:rsidP="00A81A1A">
      <w:pPr>
        <w:spacing w:after="120" w:line="240" w:lineRule="auto"/>
        <w:jc w:val="both"/>
        <w:rPr>
          <w:color w:val="002060"/>
        </w:rPr>
      </w:pPr>
      <w:r w:rsidRPr="001A5AEA">
        <w:rPr>
          <w:color w:val="002060"/>
        </w:rPr>
        <w:t xml:space="preserve">L’équipe ESG </w:t>
      </w:r>
      <w:r w:rsidR="001A5AEA" w:rsidRPr="001A5AEA">
        <w:rPr>
          <w:color w:val="002060"/>
        </w:rPr>
        <w:t>et l’Operating Team assure</w:t>
      </w:r>
      <w:r w:rsidR="001A5AEA">
        <w:rPr>
          <w:color w:val="002060"/>
        </w:rPr>
        <w:t>nt</w:t>
      </w:r>
      <w:r w:rsidR="001A5AEA" w:rsidRPr="001A5AEA">
        <w:rPr>
          <w:color w:val="002060"/>
        </w:rPr>
        <w:t xml:space="preserve"> </w:t>
      </w:r>
      <w:r w:rsidR="001A5AEA">
        <w:rPr>
          <w:color w:val="002060"/>
        </w:rPr>
        <w:t xml:space="preserve">de concert </w:t>
      </w:r>
      <w:r w:rsidR="001A5AEA" w:rsidRPr="001A5AEA">
        <w:rPr>
          <w:color w:val="002060"/>
        </w:rPr>
        <w:t>le</w:t>
      </w:r>
      <w:r w:rsidR="001A5AEA">
        <w:rPr>
          <w:color w:val="002060"/>
        </w:rPr>
        <w:t xml:space="preserve"> suivi des chantiers ESG &amp; Climat. </w:t>
      </w:r>
      <w:r w:rsidR="00562C84">
        <w:rPr>
          <w:color w:val="002060"/>
        </w:rPr>
        <w:t xml:space="preserve">L’équipe ESG accompagne principalement à date les équipes d’investissement dans la mise en œuvre de la politique ESG et Climat de leurs fonds. L’Operating Team </w:t>
      </w:r>
      <w:r w:rsidR="00D26509">
        <w:rPr>
          <w:color w:val="002060"/>
        </w:rPr>
        <w:t>accompagne principalement à date les entreprises en portefeuille dans la mise en œuvre de leur stratégie RSE</w:t>
      </w:r>
      <w:r w:rsidR="00303AA3">
        <w:rPr>
          <w:color w:val="002060"/>
        </w:rPr>
        <w:t> ; à commencer par la lutte contre le</w:t>
      </w:r>
      <w:r w:rsidR="00674F09">
        <w:rPr>
          <w:color w:val="002060"/>
        </w:rPr>
        <w:t xml:space="preserve"> changement climatique</w:t>
      </w:r>
      <w:r w:rsidR="00C9240B">
        <w:rPr>
          <w:color w:val="002060"/>
        </w:rPr>
        <w:t>.</w:t>
      </w:r>
    </w:p>
    <w:p w14:paraId="0CF48C20" w14:textId="77777777" w:rsidR="00674F09" w:rsidRDefault="00674F09" w:rsidP="00A81A1A">
      <w:pPr>
        <w:spacing w:after="120" w:line="240" w:lineRule="auto"/>
        <w:jc w:val="both"/>
        <w:rPr>
          <w:color w:val="002060"/>
        </w:rPr>
      </w:pPr>
    </w:p>
    <w:p w14:paraId="347AFC01" w14:textId="3AF10654" w:rsidR="00DE544A" w:rsidRDefault="00DE544A" w:rsidP="00A81A1A">
      <w:pPr>
        <w:spacing w:after="120" w:line="240" w:lineRule="auto"/>
        <w:jc w:val="both"/>
      </w:pPr>
      <w:r w:rsidRPr="00DE544A">
        <w:t>2.2.3 Relations organisationnelles</w:t>
      </w:r>
    </w:p>
    <w:p w14:paraId="7EE19977" w14:textId="1FEE15A1" w:rsidR="00DE544A" w:rsidRPr="000D6386" w:rsidRDefault="00DE544A" w:rsidP="00A81A1A">
      <w:pPr>
        <w:pStyle w:val="Paragraphedeliste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 w:rsidRPr="000D6386">
        <w:rPr>
          <w:color w:val="002060"/>
        </w:rPr>
        <w:t xml:space="preserve">L’équipe ESG et l’Operating Team </w:t>
      </w:r>
      <w:r w:rsidR="00602A82" w:rsidRPr="000D6386">
        <w:rPr>
          <w:color w:val="002060"/>
        </w:rPr>
        <w:t xml:space="preserve">ont pour référent hiérarchique la COO de Siparex (cf. ci-dessus). </w:t>
      </w:r>
    </w:p>
    <w:p w14:paraId="743C77E7" w14:textId="766065A5" w:rsidR="002C6AFB" w:rsidRPr="000D6386" w:rsidRDefault="002C6AFB" w:rsidP="00A81A1A">
      <w:pPr>
        <w:pStyle w:val="Paragraphedeliste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 w:rsidRPr="000D6386">
        <w:rPr>
          <w:color w:val="002060"/>
        </w:rPr>
        <w:t>La COO de Siparex est responsable devant le Comité Exécutif de la politique ESG et Climat du Groupe.</w:t>
      </w:r>
    </w:p>
    <w:p w14:paraId="090217D9" w14:textId="735C07FB" w:rsidR="002C6AFB" w:rsidRPr="000D6386" w:rsidRDefault="002C6AFB" w:rsidP="00A81A1A">
      <w:pPr>
        <w:pStyle w:val="Paragraphedeliste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 w:rsidRPr="000D6386">
        <w:rPr>
          <w:color w:val="002060"/>
        </w:rPr>
        <w:t xml:space="preserve">La responsabilité in fine de la politique ESG et Climat du Groupe </w:t>
      </w:r>
      <w:r w:rsidR="00910696" w:rsidRPr="000D6386">
        <w:rPr>
          <w:color w:val="002060"/>
        </w:rPr>
        <w:t>revient au Comité Exécutif et</w:t>
      </w:r>
      <w:r w:rsidR="005E2734" w:rsidRPr="000D6386">
        <w:rPr>
          <w:color w:val="002060"/>
        </w:rPr>
        <w:t xml:space="preserve"> par voie de conséquence au Président du Groupe.</w:t>
      </w:r>
    </w:p>
    <w:p w14:paraId="605C6E25" w14:textId="5ED76CFC" w:rsidR="00B54C48" w:rsidRDefault="00B54C48" w:rsidP="00A81A1A">
      <w:pPr>
        <w:pStyle w:val="Paragraphedeliste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 w:rsidRPr="000D6386">
        <w:rPr>
          <w:color w:val="002060"/>
        </w:rPr>
        <w:t xml:space="preserve">La Direction de la Conformité et du Contrôle Interne a la responsabilité de la </w:t>
      </w:r>
      <w:r w:rsidR="000D6386" w:rsidRPr="000D6386">
        <w:rPr>
          <w:color w:val="002060"/>
        </w:rPr>
        <w:t xml:space="preserve">conformité </w:t>
      </w:r>
      <w:r w:rsidR="00CC32DE">
        <w:rPr>
          <w:color w:val="002060"/>
        </w:rPr>
        <w:t xml:space="preserve">des pratiques du Groupe </w:t>
      </w:r>
      <w:r w:rsidR="00BD46B5">
        <w:rPr>
          <w:color w:val="002060"/>
        </w:rPr>
        <w:t xml:space="preserve">en matière ESG et Climat </w:t>
      </w:r>
      <w:r w:rsidR="00CC32DE">
        <w:rPr>
          <w:color w:val="002060"/>
        </w:rPr>
        <w:t xml:space="preserve">au regard </w:t>
      </w:r>
      <w:r w:rsidR="00BD46B5">
        <w:rPr>
          <w:color w:val="002060"/>
        </w:rPr>
        <w:t>du cadre règlementaire et déontologique.</w:t>
      </w:r>
    </w:p>
    <w:p w14:paraId="18589DDC" w14:textId="77777777" w:rsidR="00BD46B5" w:rsidRDefault="00BD46B5" w:rsidP="00A81A1A">
      <w:pPr>
        <w:spacing w:after="120" w:line="240" w:lineRule="auto"/>
        <w:jc w:val="both"/>
        <w:rPr>
          <w:color w:val="002060"/>
        </w:rPr>
      </w:pPr>
    </w:p>
    <w:p w14:paraId="6B8FE0C6" w14:textId="7F09F4B8" w:rsidR="00833961" w:rsidRPr="00833961" w:rsidRDefault="00833961" w:rsidP="00A81A1A">
      <w:pPr>
        <w:spacing w:after="120" w:line="240" w:lineRule="auto"/>
        <w:jc w:val="both"/>
      </w:pPr>
      <w:r w:rsidRPr="00833961">
        <w:t>2.3. Direction</w:t>
      </w:r>
    </w:p>
    <w:p w14:paraId="09AEFE0D" w14:textId="2D4C2EB0" w:rsidR="00833961" w:rsidRPr="00833961" w:rsidRDefault="00833961" w:rsidP="00A81A1A">
      <w:pPr>
        <w:spacing w:after="120" w:line="240" w:lineRule="auto"/>
        <w:jc w:val="both"/>
      </w:pPr>
      <w:r w:rsidRPr="00833961">
        <w:t>2.3.1 Instances de Direction</w:t>
      </w:r>
    </w:p>
    <w:p w14:paraId="0C939366" w14:textId="5480DEDF" w:rsidR="008B0845" w:rsidRDefault="008B0845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Le Conseil de Surveillance est informé </w:t>
      </w:r>
      <w:proofErr w:type="gramStart"/>
      <w:r>
        <w:rPr>
          <w:color w:val="002060"/>
        </w:rPr>
        <w:t>a</w:t>
      </w:r>
      <w:proofErr w:type="gramEnd"/>
      <w:r>
        <w:rPr>
          <w:color w:val="002060"/>
        </w:rPr>
        <w:t xml:space="preserve"> minima annuellement des sujets ESG </w:t>
      </w:r>
      <w:r w:rsidR="005F2B8F">
        <w:rPr>
          <w:color w:val="002060"/>
        </w:rPr>
        <w:t>et Climat</w:t>
      </w:r>
      <w:r w:rsidR="00EE4678">
        <w:rPr>
          <w:color w:val="002060"/>
        </w:rPr>
        <w:t xml:space="preserve"> </w:t>
      </w:r>
      <w:r>
        <w:rPr>
          <w:color w:val="002060"/>
        </w:rPr>
        <w:t xml:space="preserve">(partage de la feuille de route et suivi de l’avancement des actions). </w:t>
      </w:r>
    </w:p>
    <w:p w14:paraId="770FF7C5" w14:textId="11087595" w:rsidR="00BD46B5" w:rsidRDefault="00833961" w:rsidP="00A81A1A">
      <w:pPr>
        <w:spacing w:after="120" w:line="240" w:lineRule="auto"/>
        <w:jc w:val="both"/>
        <w:rPr>
          <w:color w:val="002060"/>
        </w:rPr>
      </w:pPr>
      <w:r w:rsidRPr="00833961">
        <w:rPr>
          <w:color w:val="002060"/>
        </w:rPr>
        <w:t xml:space="preserve">Le Comité </w:t>
      </w:r>
      <w:r>
        <w:rPr>
          <w:color w:val="002060"/>
        </w:rPr>
        <w:t>Exécutif</w:t>
      </w:r>
      <w:r w:rsidRPr="00833961">
        <w:rPr>
          <w:color w:val="002060"/>
        </w:rPr>
        <w:t xml:space="preserve"> est informé </w:t>
      </w:r>
      <w:proofErr w:type="gramStart"/>
      <w:r>
        <w:rPr>
          <w:color w:val="002060"/>
        </w:rPr>
        <w:t>a</w:t>
      </w:r>
      <w:proofErr w:type="gramEnd"/>
      <w:r>
        <w:rPr>
          <w:color w:val="002060"/>
        </w:rPr>
        <w:t xml:space="preserve"> minima </w:t>
      </w:r>
      <w:r w:rsidR="008C646B">
        <w:rPr>
          <w:color w:val="002060"/>
        </w:rPr>
        <w:t>semestriellement sinon trimestriellement</w:t>
      </w:r>
      <w:r w:rsidRPr="00833961">
        <w:rPr>
          <w:color w:val="002060"/>
        </w:rPr>
        <w:t xml:space="preserve"> </w:t>
      </w:r>
      <w:r>
        <w:rPr>
          <w:color w:val="002060"/>
        </w:rPr>
        <w:t>du rythme de la mise en œuvre de la stratégie ESG et Climat.</w:t>
      </w:r>
    </w:p>
    <w:p w14:paraId="096ECE83" w14:textId="0B4F1ED3" w:rsidR="00833961" w:rsidRDefault="00833961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Les </w:t>
      </w:r>
      <w:r w:rsidR="00910053">
        <w:rPr>
          <w:color w:val="002060"/>
        </w:rPr>
        <w:t xml:space="preserve">Directoires d’activité </w:t>
      </w:r>
      <w:r w:rsidR="008C646B">
        <w:rPr>
          <w:color w:val="002060"/>
        </w:rPr>
        <w:t xml:space="preserve">suivent </w:t>
      </w:r>
      <w:r w:rsidR="0011059C">
        <w:rPr>
          <w:color w:val="002060"/>
        </w:rPr>
        <w:t>l’application opérationnelle de la stratégie ESG et Climat de leurs fonds sous gestion a minima à chaque investissement</w:t>
      </w:r>
      <w:r w:rsidR="00B72107">
        <w:rPr>
          <w:color w:val="002060"/>
        </w:rPr>
        <w:t xml:space="preserve"> réalisé </w:t>
      </w:r>
      <w:r w:rsidR="00A81A1A">
        <w:rPr>
          <w:color w:val="002060"/>
        </w:rPr>
        <w:t xml:space="preserve">sinon </w:t>
      </w:r>
      <w:r w:rsidR="004C0DCF">
        <w:rPr>
          <w:color w:val="002060"/>
        </w:rPr>
        <w:t>mensuellement</w:t>
      </w:r>
      <w:r w:rsidR="009620F9">
        <w:rPr>
          <w:color w:val="002060"/>
        </w:rPr>
        <w:t xml:space="preserve">. </w:t>
      </w:r>
    </w:p>
    <w:p w14:paraId="54F6CB8B" w14:textId="77777777" w:rsidR="009620F9" w:rsidRDefault="009620F9" w:rsidP="00A81A1A">
      <w:pPr>
        <w:spacing w:after="120" w:line="240" w:lineRule="auto"/>
        <w:jc w:val="both"/>
        <w:rPr>
          <w:color w:val="002060"/>
        </w:rPr>
      </w:pPr>
    </w:p>
    <w:p w14:paraId="5563C730" w14:textId="42CE98D1" w:rsidR="009620F9" w:rsidRPr="002B688A" w:rsidRDefault="002B688A" w:rsidP="00A81A1A">
      <w:pPr>
        <w:spacing w:after="120" w:line="240" w:lineRule="auto"/>
        <w:jc w:val="both"/>
      </w:pPr>
      <w:r w:rsidRPr="002B688A">
        <w:t>2.3.2 Politique de rémunération liée au climat</w:t>
      </w:r>
    </w:p>
    <w:p w14:paraId="62E5EF30" w14:textId="314C5D94" w:rsidR="0084052D" w:rsidRDefault="0084052D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Au cas par cas, en fonction des attentes des investisseurs et de la typologie des véhicules d’investissement, conditionnement d’une part significative du bonus de surperformance (jusqu’à 50%) à l’atteinte d’objectifs ESG et Climat.</w:t>
      </w:r>
    </w:p>
    <w:p w14:paraId="579AF349" w14:textId="77777777" w:rsidR="00B54A11" w:rsidRDefault="00B54A11" w:rsidP="00A81A1A">
      <w:pPr>
        <w:spacing w:after="120" w:line="240" w:lineRule="auto"/>
        <w:jc w:val="both"/>
      </w:pPr>
    </w:p>
    <w:p w14:paraId="149179E0" w14:textId="22E21DB8" w:rsidR="00234C9E" w:rsidRPr="00234C9E" w:rsidRDefault="00234C9E" w:rsidP="00A81A1A">
      <w:pPr>
        <w:spacing w:after="120" w:line="240" w:lineRule="auto"/>
        <w:jc w:val="both"/>
      </w:pPr>
      <w:r w:rsidRPr="00234C9E">
        <w:lastRenderedPageBreak/>
        <w:t>2.4. Gestion des risques climatiques</w:t>
      </w:r>
    </w:p>
    <w:p w14:paraId="4ECBA5E2" w14:textId="2BFD55CD" w:rsidR="00234C9E" w:rsidRDefault="00234C9E" w:rsidP="00A81A1A">
      <w:pPr>
        <w:spacing w:after="120" w:line="240" w:lineRule="auto"/>
        <w:jc w:val="both"/>
      </w:pPr>
      <w:r w:rsidRPr="00234C9E">
        <w:t>2.4.1 Comité de gestion des risques liés au climat</w:t>
      </w:r>
    </w:p>
    <w:p w14:paraId="2366FD11" w14:textId="2F656133" w:rsidR="005738FD" w:rsidRDefault="00302FB8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Les Directoires d’activité ont la responsabilité</w:t>
      </w:r>
      <w:r w:rsidR="00097E02">
        <w:rPr>
          <w:color w:val="002060"/>
        </w:rPr>
        <w:t xml:space="preserve"> de la gestion des risques </w:t>
      </w:r>
      <w:r w:rsidR="00117003">
        <w:rPr>
          <w:color w:val="002060"/>
        </w:rPr>
        <w:t xml:space="preserve">des fonds sous gestion, risques ESG et Climat compris. Ils s’appuient sur l’équipe ESG du Groupe Siparex pour </w:t>
      </w:r>
      <w:r w:rsidR="005523A0">
        <w:rPr>
          <w:color w:val="002060"/>
        </w:rPr>
        <w:t>prendre en compte dans leur décision d’investissement les risques ESG</w:t>
      </w:r>
      <w:r w:rsidR="00117003">
        <w:rPr>
          <w:color w:val="002060"/>
        </w:rPr>
        <w:t xml:space="preserve"> </w:t>
      </w:r>
      <w:r w:rsidR="004D51C7">
        <w:rPr>
          <w:color w:val="002060"/>
        </w:rPr>
        <w:t xml:space="preserve">(analyses de la double matérialité) </w:t>
      </w:r>
      <w:r w:rsidR="002D2E5E">
        <w:rPr>
          <w:color w:val="002060"/>
        </w:rPr>
        <w:t xml:space="preserve">ainsi que sur </w:t>
      </w:r>
      <w:r w:rsidR="00416E92">
        <w:rPr>
          <w:color w:val="002060"/>
        </w:rPr>
        <w:t xml:space="preserve">des expertises externes, le cas échéant spécialistes des enjeux climatiques. </w:t>
      </w:r>
    </w:p>
    <w:p w14:paraId="3344332A" w14:textId="77777777" w:rsidR="00C40FF1" w:rsidRDefault="00C40FF1" w:rsidP="00A81A1A">
      <w:pPr>
        <w:spacing w:after="120" w:line="240" w:lineRule="auto"/>
        <w:jc w:val="both"/>
        <w:rPr>
          <w:color w:val="002060"/>
        </w:rPr>
      </w:pPr>
    </w:p>
    <w:p w14:paraId="4BF9F178" w14:textId="35EA30E4" w:rsidR="005738FD" w:rsidRDefault="005738FD" w:rsidP="00A81A1A">
      <w:pPr>
        <w:spacing w:after="120" w:line="240" w:lineRule="auto"/>
        <w:jc w:val="both"/>
      </w:pPr>
      <w:r w:rsidRPr="005738FD">
        <w:t>2.4.2 Processus de gestion des risques</w:t>
      </w:r>
    </w:p>
    <w:p w14:paraId="41376B7A" w14:textId="5749669E" w:rsidR="005738FD" w:rsidRDefault="00F50262" w:rsidP="00A81A1A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Analyse</w:t>
      </w:r>
      <w:r w:rsidR="00092E98">
        <w:rPr>
          <w:color w:val="002060"/>
        </w:rPr>
        <w:t>s</w:t>
      </w:r>
      <w:r>
        <w:rPr>
          <w:color w:val="002060"/>
        </w:rPr>
        <w:t xml:space="preserve"> SWOT ESG </w:t>
      </w:r>
      <w:r w:rsidR="00092E98">
        <w:rPr>
          <w:color w:val="002060"/>
        </w:rPr>
        <w:t xml:space="preserve">et Climat </w:t>
      </w:r>
      <w:r w:rsidR="00272E96">
        <w:rPr>
          <w:color w:val="002060"/>
        </w:rPr>
        <w:t xml:space="preserve">(y compris l’évaluation des risques physiques et de </w:t>
      </w:r>
      <w:proofErr w:type="gramStart"/>
      <w:r w:rsidR="00272E96">
        <w:rPr>
          <w:color w:val="002060"/>
        </w:rPr>
        <w:t xml:space="preserve">transition </w:t>
      </w:r>
      <w:r w:rsidR="000A7BE2">
        <w:rPr>
          <w:color w:val="002060"/>
        </w:rPr>
        <w:t>liés</w:t>
      </w:r>
      <w:proofErr w:type="gramEnd"/>
      <w:r w:rsidR="000A7BE2">
        <w:rPr>
          <w:color w:val="002060"/>
        </w:rPr>
        <w:t xml:space="preserve"> au changement climatique)</w:t>
      </w:r>
    </w:p>
    <w:p w14:paraId="0C01582D" w14:textId="2A1178FC" w:rsidR="00092E98" w:rsidRDefault="00092E98" w:rsidP="00A81A1A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Analyses </w:t>
      </w:r>
      <w:r w:rsidR="00A82257">
        <w:rPr>
          <w:color w:val="002060"/>
        </w:rPr>
        <w:t xml:space="preserve">qualitatives </w:t>
      </w:r>
      <w:r>
        <w:rPr>
          <w:color w:val="002060"/>
        </w:rPr>
        <w:t>de la matérialité des enjeux climatiques</w:t>
      </w:r>
    </w:p>
    <w:p w14:paraId="1B631598" w14:textId="500F1B75" w:rsidR="00092E98" w:rsidRDefault="00060EC0" w:rsidP="00A81A1A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Définition et suivi d’un plan d’actions Climat entreprise par entreprise</w:t>
      </w:r>
    </w:p>
    <w:p w14:paraId="6CE4A0B0" w14:textId="1DC69B79" w:rsidR="002D6189" w:rsidRPr="00F50262" w:rsidRDefault="002D6189" w:rsidP="00A81A1A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Programme et ressources dédiés à l’accompagnement des entreprises en portefeuille </w:t>
      </w:r>
      <w:r w:rsidR="00021F3E">
        <w:rPr>
          <w:color w:val="002060"/>
        </w:rPr>
        <w:t>dans la mise en œuvre de leur stratégie Climat</w:t>
      </w:r>
    </w:p>
    <w:p w14:paraId="2ECD5506" w14:textId="77777777" w:rsidR="005738FD" w:rsidRDefault="005738FD" w:rsidP="00A81A1A">
      <w:pPr>
        <w:spacing w:after="120" w:line="240" w:lineRule="auto"/>
        <w:jc w:val="both"/>
        <w:rPr>
          <w:color w:val="002060"/>
        </w:rPr>
      </w:pPr>
    </w:p>
    <w:p w14:paraId="2800AA5A" w14:textId="77777777" w:rsidR="00CD6000" w:rsidRDefault="00CD6000" w:rsidP="00A81A1A">
      <w:pPr>
        <w:spacing w:after="120" w:line="240" w:lineRule="auto"/>
        <w:jc w:val="both"/>
      </w:pPr>
      <w:r>
        <w:t>2.5. Adhésions</w:t>
      </w:r>
    </w:p>
    <w:p w14:paraId="3AAA9851" w14:textId="3C940FB1" w:rsidR="005738FD" w:rsidRDefault="00CD6000" w:rsidP="00A81A1A">
      <w:pPr>
        <w:spacing w:after="120" w:line="240" w:lineRule="auto"/>
        <w:jc w:val="both"/>
      </w:pPr>
      <w:r>
        <w:t>2.5.1 Initiatives climatiques</w:t>
      </w:r>
    </w:p>
    <w:p w14:paraId="4BCA3DC6" w14:textId="57CAA608" w:rsidR="00BC230D" w:rsidRPr="00F744DE" w:rsidRDefault="000D626B" w:rsidP="00A81A1A">
      <w:pPr>
        <w:spacing w:after="120" w:line="240" w:lineRule="auto"/>
        <w:jc w:val="both"/>
        <w:rPr>
          <w:color w:val="002060"/>
        </w:rPr>
      </w:pPr>
      <w:r w:rsidRPr="00F744DE">
        <w:rPr>
          <w:color w:val="002060"/>
        </w:rPr>
        <w:t xml:space="preserve">Siparex est signataire </w:t>
      </w:r>
      <w:r w:rsidR="00BC230D" w:rsidRPr="00F744DE">
        <w:rPr>
          <w:color w:val="002060"/>
        </w:rPr>
        <w:t>des UN PRI</w:t>
      </w:r>
      <w:r w:rsidR="00B86659">
        <w:rPr>
          <w:color w:val="002060"/>
        </w:rPr>
        <w:t>,</w:t>
      </w:r>
      <w:r w:rsidR="00BC230D" w:rsidRPr="00F744DE">
        <w:rPr>
          <w:color w:val="002060"/>
        </w:rPr>
        <w:t xml:space="preserve"> de l’Initiative Climat International</w:t>
      </w:r>
      <w:r w:rsidR="00B86659">
        <w:rPr>
          <w:color w:val="002060"/>
        </w:rPr>
        <w:t xml:space="preserve"> et de la Charte d’Engagement d</w:t>
      </w:r>
      <w:r w:rsidR="00CA4131">
        <w:rPr>
          <w:color w:val="002060"/>
        </w:rPr>
        <w:t>es investisseurs pour la croissance</w:t>
      </w:r>
      <w:r w:rsidR="00DE5696">
        <w:rPr>
          <w:color w:val="002060"/>
        </w:rPr>
        <w:t xml:space="preserve"> portée par</w:t>
      </w:r>
      <w:r w:rsidR="00B86659">
        <w:rPr>
          <w:color w:val="002060"/>
        </w:rPr>
        <w:t xml:space="preserve"> France Invest.</w:t>
      </w:r>
    </w:p>
    <w:p w14:paraId="5FB0DE70" w14:textId="77777777" w:rsidR="00CD6000" w:rsidRDefault="00CD6000" w:rsidP="00A81A1A">
      <w:pPr>
        <w:spacing w:after="120" w:line="240" w:lineRule="auto"/>
        <w:jc w:val="both"/>
        <w:rPr>
          <w:color w:val="002060"/>
        </w:rPr>
      </w:pPr>
    </w:p>
    <w:p w14:paraId="1F90388D" w14:textId="06143FCC" w:rsidR="00917DB4" w:rsidRPr="00917DB4" w:rsidRDefault="00917DB4" w:rsidP="00A81A1A">
      <w:pPr>
        <w:spacing w:after="120" w:line="240" w:lineRule="auto"/>
        <w:jc w:val="both"/>
      </w:pPr>
      <w:r w:rsidRPr="00917DB4">
        <w:t>2.5.2 Groupe de travail</w:t>
      </w:r>
    </w:p>
    <w:p w14:paraId="240E872D" w14:textId="361D8CB3" w:rsidR="005C1CB6" w:rsidRDefault="00F744DE" w:rsidP="00A81A1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Siparex participe à plusieurs groupes de travail </w:t>
      </w:r>
      <w:r w:rsidR="00A41D30">
        <w:rPr>
          <w:color w:val="002060"/>
        </w:rPr>
        <w:t xml:space="preserve">et de réflexion sur la lutte contre le réchauffement climatique et les enjeux </w:t>
      </w:r>
      <w:r w:rsidR="00CB5DBC">
        <w:rPr>
          <w:color w:val="002060"/>
        </w:rPr>
        <w:t xml:space="preserve">liés au changement climatique ; à commencer par </w:t>
      </w:r>
      <w:r w:rsidR="000A235F">
        <w:rPr>
          <w:color w:val="002060"/>
        </w:rPr>
        <w:t xml:space="preserve">i) </w:t>
      </w:r>
      <w:bookmarkStart w:id="0" w:name="_Hlk107591070"/>
      <w:r w:rsidR="00CB5DBC">
        <w:rPr>
          <w:color w:val="002060"/>
        </w:rPr>
        <w:t>l</w:t>
      </w:r>
      <w:r w:rsidR="00E760A4">
        <w:rPr>
          <w:color w:val="002060"/>
        </w:rPr>
        <w:t>es</w:t>
      </w:r>
      <w:r w:rsidR="00CB5DBC">
        <w:rPr>
          <w:color w:val="002060"/>
        </w:rPr>
        <w:t xml:space="preserve"> Commission</w:t>
      </w:r>
      <w:r w:rsidR="008A4A5C">
        <w:rPr>
          <w:color w:val="002060"/>
        </w:rPr>
        <w:t>s</w:t>
      </w:r>
      <w:r w:rsidR="00CB5DBC">
        <w:rPr>
          <w:color w:val="002060"/>
        </w:rPr>
        <w:t xml:space="preserve"> </w:t>
      </w:r>
      <w:proofErr w:type="spellStart"/>
      <w:r w:rsidR="00CB5DBC">
        <w:rPr>
          <w:color w:val="002060"/>
        </w:rPr>
        <w:t>Sustainability</w:t>
      </w:r>
      <w:proofErr w:type="spellEnd"/>
      <w:r w:rsidR="00CB5DBC">
        <w:rPr>
          <w:color w:val="002060"/>
        </w:rPr>
        <w:t xml:space="preserve"> </w:t>
      </w:r>
      <w:r w:rsidR="00E760A4">
        <w:rPr>
          <w:color w:val="002060"/>
        </w:rPr>
        <w:t xml:space="preserve">et Transition Ecologique </w:t>
      </w:r>
      <w:r w:rsidR="00CB5DBC">
        <w:rPr>
          <w:color w:val="002060"/>
        </w:rPr>
        <w:t>de France Invest</w:t>
      </w:r>
      <w:r w:rsidR="000A235F">
        <w:rPr>
          <w:color w:val="002060"/>
        </w:rPr>
        <w:t xml:space="preserve">, ii) la </w:t>
      </w:r>
      <w:proofErr w:type="spellStart"/>
      <w:r w:rsidR="000A235F">
        <w:rPr>
          <w:color w:val="002060"/>
        </w:rPr>
        <w:t>Task</w:t>
      </w:r>
      <w:proofErr w:type="spellEnd"/>
      <w:r w:rsidR="000A235F">
        <w:rPr>
          <w:color w:val="002060"/>
        </w:rPr>
        <w:t xml:space="preserve"> Force sur le prix du carbone, </w:t>
      </w:r>
      <w:r w:rsidR="00EB78CE">
        <w:rPr>
          <w:color w:val="002060"/>
        </w:rPr>
        <w:t>iii</w:t>
      </w:r>
      <w:r w:rsidR="00EB78CE" w:rsidRPr="008A4A5C">
        <w:rPr>
          <w:color w:val="002060"/>
        </w:rPr>
        <w:t xml:space="preserve">) </w:t>
      </w:r>
      <w:r w:rsidR="008A4A5C">
        <w:rPr>
          <w:color w:val="002060"/>
        </w:rPr>
        <w:t>l’Initiative Climat International.</w:t>
      </w:r>
    </w:p>
    <w:bookmarkEnd w:id="0"/>
    <w:p w14:paraId="4E9B2603" w14:textId="77777777" w:rsidR="00020521" w:rsidRDefault="00020521" w:rsidP="00A81A1A">
      <w:pPr>
        <w:spacing w:after="120" w:line="240" w:lineRule="auto"/>
        <w:jc w:val="both"/>
        <w:rPr>
          <w:color w:val="002060"/>
        </w:rPr>
      </w:pPr>
    </w:p>
    <w:p w14:paraId="069059F1" w14:textId="77777777" w:rsidR="00E04FF9" w:rsidRPr="00E04FF9" w:rsidRDefault="00E04FF9" w:rsidP="00A81A1A">
      <w:pPr>
        <w:spacing w:after="120" w:line="240" w:lineRule="auto"/>
        <w:rPr>
          <w:b/>
          <w:bCs/>
        </w:rPr>
      </w:pPr>
      <w:r w:rsidRPr="00E04FF9">
        <w:rPr>
          <w:b/>
          <w:bCs/>
        </w:rPr>
        <w:t>3. Stratégie climat</w:t>
      </w:r>
    </w:p>
    <w:p w14:paraId="26D14379" w14:textId="77777777" w:rsidR="00CF24C0" w:rsidRDefault="00E04FF9" w:rsidP="00A81A1A">
      <w:pPr>
        <w:spacing w:after="120" w:line="240" w:lineRule="auto"/>
      </w:pPr>
      <w:r>
        <w:t>3.1. Stratégie d'alignement avec les objectifs de l'Accord de Paris</w:t>
      </w:r>
    </w:p>
    <w:p w14:paraId="7FD2E30F" w14:textId="25E08ECB" w:rsidR="00CF24C0" w:rsidRDefault="00BC3295" w:rsidP="00A81A1A">
      <w:pPr>
        <w:spacing w:after="120" w:line="240" w:lineRule="auto"/>
      </w:pPr>
      <w:r w:rsidRPr="00BC3295">
        <w:t xml:space="preserve">3.1.1 Cadre de mise en </w:t>
      </w:r>
      <w:r>
        <w:t xml:space="preserve">œuvre </w:t>
      </w:r>
      <w:r w:rsidRPr="00BC3295">
        <w:t>et engagements climatiques</w:t>
      </w:r>
    </w:p>
    <w:p w14:paraId="5F6B79FE" w14:textId="0F8D91B9" w:rsidR="00CB5DBC" w:rsidRDefault="008736B3" w:rsidP="00D74E25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Siparex </w:t>
      </w:r>
      <w:r w:rsidR="0096502E">
        <w:rPr>
          <w:color w:val="002060"/>
        </w:rPr>
        <w:t>communique sa</w:t>
      </w:r>
      <w:r>
        <w:rPr>
          <w:color w:val="002060"/>
        </w:rPr>
        <w:t xml:space="preserve"> politique d’investissement responsable</w:t>
      </w:r>
      <w:r w:rsidR="0096502E">
        <w:rPr>
          <w:color w:val="002060"/>
        </w:rPr>
        <w:t xml:space="preserve"> directement sur son site web (</w:t>
      </w:r>
      <w:hyperlink r:id="rId9" w:history="1">
        <w:r w:rsidR="00315913" w:rsidRPr="00791028">
          <w:rPr>
            <w:rStyle w:val="Lienhypertexte"/>
          </w:rPr>
          <w:t>https://www.siparex.com/wp-content/uploads/2020/01/Charte-ESG_GroupeSiparex_janv2020.pdf</w:t>
        </w:r>
      </w:hyperlink>
      <w:r w:rsidR="00315913">
        <w:rPr>
          <w:color w:val="002060"/>
        </w:rPr>
        <w:t>)</w:t>
      </w:r>
      <w:r w:rsidR="00A06C31">
        <w:rPr>
          <w:color w:val="002060"/>
        </w:rPr>
        <w:t>,</w:t>
      </w:r>
      <w:r w:rsidR="00315913">
        <w:rPr>
          <w:color w:val="002060"/>
        </w:rPr>
        <w:t xml:space="preserve"> </w:t>
      </w:r>
      <w:r>
        <w:rPr>
          <w:color w:val="002060"/>
        </w:rPr>
        <w:t xml:space="preserve">sans volet </w:t>
      </w:r>
      <w:r w:rsidR="00A06C31">
        <w:rPr>
          <w:color w:val="002060"/>
        </w:rPr>
        <w:t>spécifique sur le climat à ce stade.</w:t>
      </w:r>
    </w:p>
    <w:p w14:paraId="5A886392" w14:textId="0788A9CF" w:rsidR="00F97646" w:rsidRDefault="00F56D66" w:rsidP="008E7396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En complément de</w:t>
      </w:r>
      <w:r w:rsidR="00C56A87">
        <w:rPr>
          <w:color w:val="002060"/>
        </w:rPr>
        <w:t xml:space="preserve"> la stratégie Climat du Groupe </w:t>
      </w:r>
      <w:r w:rsidR="008B2BB7">
        <w:rPr>
          <w:color w:val="002060"/>
        </w:rPr>
        <w:t>détaillée</w:t>
      </w:r>
      <w:r w:rsidR="00C56A87">
        <w:rPr>
          <w:color w:val="002060"/>
        </w:rPr>
        <w:t xml:space="preserve"> au 2.1.2</w:t>
      </w:r>
      <w:r w:rsidR="008B2BB7">
        <w:rPr>
          <w:color w:val="002060"/>
        </w:rPr>
        <w:t xml:space="preserve"> ci-dessus</w:t>
      </w:r>
      <w:r w:rsidR="00D1429C">
        <w:rPr>
          <w:color w:val="002060"/>
        </w:rPr>
        <w:t xml:space="preserve">, Siparex s’applique </w:t>
      </w:r>
      <w:r w:rsidR="008E7396">
        <w:rPr>
          <w:color w:val="002060"/>
        </w:rPr>
        <w:t xml:space="preserve">i) </w:t>
      </w:r>
      <w:r w:rsidR="008B2BB7">
        <w:rPr>
          <w:color w:val="002060"/>
        </w:rPr>
        <w:t xml:space="preserve">à </w:t>
      </w:r>
      <w:r w:rsidR="00276645">
        <w:rPr>
          <w:color w:val="002060"/>
        </w:rPr>
        <w:t>développer</w:t>
      </w:r>
      <w:r w:rsidR="008B2BB7">
        <w:rPr>
          <w:color w:val="002060"/>
        </w:rPr>
        <w:t xml:space="preserve"> des véhicules d’investissement </w:t>
      </w:r>
      <w:r w:rsidR="003B636A">
        <w:rPr>
          <w:color w:val="002060"/>
        </w:rPr>
        <w:t xml:space="preserve">dits article 9 </w:t>
      </w:r>
      <w:r w:rsidR="00276645">
        <w:rPr>
          <w:color w:val="002060"/>
        </w:rPr>
        <w:t xml:space="preserve">au sens de SFDR </w:t>
      </w:r>
      <w:r w:rsidR="008E7396">
        <w:rPr>
          <w:color w:val="002060"/>
        </w:rPr>
        <w:t xml:space="preserve">à </w:t>
      </w:r>
      <w:r w:rsidR="00DC6B32">
        <w:rPr>
          <w:color w:val="002060"/>
        </w:rPr>
        <w:t>impacts positifs sur le Climat</w:t>
      </w:r>
      <w:r w:rsidR="00276645">
        <w:rPr>
          <w:color w:val="002060"/>
        </w:rPr>
        <w:t xml:space="preserve"> </w:t>
      </w:r>
      <w:r w:rsidR="008E7396">
        <w:rPr>
          <w:color w:val="002060"/>
        </w:rPr>
        <w:t xml:space="preserve">et ii) à </w:t>
      </w:r>
      <w:r w:rsidR="004E2BAA">
        <w:rPr>
          <w:color w:val="002060"/>
        </w:rPr>
        <w:t xml:space="preserve">inclure </w:t>
      </w:r>
      <w:r w:rsidR="002311FB">
        <w:rPr>
          <w:color w:val="002060"/>
        </w:rPr>
        <w:t xml:space="preserve">des </w:t>
      </w:r>
      <w:r w:rsidR="00331408">
        <w:rPr>
          <w:color w:val="002060"/>
        </w:rPr>
        <w:t>engagements</w:t>
      </w:r>
      <w:r w:rsidR="002311FB">
        <w:rPr>
          <w:color w:val="002060"/>
        </w:rPr>
        <w:t xml:space="preserve"> </w:t>
      </w:r>
      <w:r w:rsidR="00331408">
        <w:rPr>
          <w:color w:val="002060"/>
        </w:rPr>
        <w:t>climatiques</w:t>
      </w:r>
      <w:r w:rsidR="002311FB">
        <w:rPr>
          <w:color w:val="002060"/>
        </w:rPr>
        <w:t xml:space="preserve"> </w:t>
      </w:r>
      <w:r w:rsidR="004E2BAA">
        <w:rPr>
          <w:color w:val="002060"/>
        </w:rPr>
        <w:t xml:space="preserve">dans la politique de gestion des véhicules </w:t>
      </w:r>
      <w:r w:rsidR="00EE5B8F">
        <w:rPr>
          <w:color w:val="002060"/>
        </w:rPr>
        <w:t xml:space="preserve">d’investissement </w:t>
      </w:r>
      <w:r w:rsidR="00DC6B32">
        <w:rPr>
          <w:color w:val="002060"/>
        </w:rPr>
        <w:t>dits article 8 au sens de SFDR</w:t>
      </w:r>
      <w:r w:rsidR="00F97646">
        <w:rPr>
          <w:color w:val="002060"/>
        </w:rPr>
        <w:t> :</w:t>
      </w:r>
    </w:p>
    <w:p w14:paraId="6376D1D3" w14:textId="77777777" w:rsidR="00DC6B32" w:rsidRDefault="00F97646" w:rsidP="008E7396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E</w:t>
      </w:r>
      <w:r w:rsidR="0082687E">
        <w:rPr>
          <w:color w:val="002060"/>
        </w:rPr>
        <w:t>xclusion</w:t>
      </w:r>
      <w:r>
        <w:rPr>
          <w:color w:val="002060"/>
        </w:rPr>
        <w:t>s</w:t>
      </w:r>
      <w:r w:rsidR="0082687E">
        <w:rPr>
          <w:color w:val="002060"/>
        </w:rPr>
        <w:t xml:space="preserve"> </w:t>
      </w:r>
      <w:r w:rsidR="00306755">
        <w:rPr>
          <w:color w:val="002060"/>
        </w:rPr>
        <w:t>sectorielle</w:t>
      </w:r>
      <w:r>
        <w:rPr>
          <w:color w:val="002060"/>
        </w:rPr>
        <w:t>s</w:t>
      </w:r>
      <w:r w:rsidR="00DC6B32">
        <w:rPr>
          <w:color w:val="002060"/>
        </w:rPr>
        <w:t xml:space="preserve">, </w:t>
      </w:r>
      <w:r>
        <w:rPr>
          <w:color w:val="002060"/>
        </w:rPr>
        <w:t xml:space="preserve">à commencer par </w:t>
      </w:r>
      <w:r w:rsidR="00190782">
        <w:rPr>
          <w:color w:val="002060"/>
        </w:rPr>
        <w:t xml:space="preserve">les </w:t>
      </w:r>
      <w:r w:rsidR="00190782" w:rsidRPr="00190782">
        <w:rPr>
          <w:color w:val="002060"/>
        </w:rPr>
        <w:t>entreprises exerçant des activités préjudiciables à l'environnement (en ce inclus toute entreprise réalisant plus de 10% de son chiffre d’affaires au travers d’activités liées au charbon, telles que, notamment, l’extraction du charbon ou de la production d’électricité par centrale au charbon).</w:t>
      </w:r>
    </w:p>
    <w:p w14:paraId="16CC4CA3" w14:textId="10A66C36" w:rsidR="0082687E" w:rsidRPr="00DC6B32" w:rsidRDefault="00971EFF" w:rsidP="008E7396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lastRenderedPageBreak/>
        <w:t>Une priorité d’accompagnement opérationnel et stratégique donnée à la</w:t>
      </w:r>
      <w:r w:rsidR="002E6245">
        <w:rPr>
          <w:color w:val="002060"/>
        </w:rPr>
        <w:t xml:space="preserve"> d</w:t>
      </w:r>
      <w:r w:rsidR="0082687E" w:rsidRPr="00DC6B32">
        <w:rPr>
          <w:color w:val="002060"/>
        </w:rPr>
        <w:t xml:space="preserve">écarbonation </w:t>
      </w:r>
      <w:r w:rsidR="002E6245">
        <w:rPr>
          <w:color w:val="002060"/>
        </w:rPr>
        <w:t>dans la politique d’investissement</w:t>
      </w:r>
      <w:r>
        <w:rPr>
          <w:color w:val="002060"/>
        </w:rPr>
        <w:t>.</w:t>
      </w:r>
    </w:p>
    <w:p w14:paraId="00151782" w14:textId="33BE7B05" w:rsidR="00EE6B79" w:rsidRDefault="00EE6B79" w:rsidP="00971EFF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Inclusion d’objectifs </w:t>
      </w:r>
      <w:r w:rsidR="006E33F4">
        <w:rPr>
          <w:color w:val="002060"/>
        </w:rPr>
        <w:t xml:space="preserve">de moyens </w:t>
      </w:r>
      <w:r w:rsidR="00EC27B0">
        <w:rPr>
          <w:color w:val="002060"/>
        </w:rPr>
        <w:t xml:space="preserve">(et de résultat le cas échéant) de lutte contre le changement climatique </w:t>
      </w:r>
      <w:r>
        <w:rPr>
          <w:color w:val="002060"/>
        </w:rPr>
        <w:t>dans les bonus de surperformance</w:t>
      </w:r>
      <w:r w:rsidR="00EC27B0">
        <w:rPr>
          <w:color w:val="002060"/>
        </w:rPr>
        <w:t>.</w:t>
      </w:r>
    </w:p>
    <w:p w14:paraId="2963B932" w14:textId="77777777" w:rsidR="00764B81" w:rsidRDefault="00764B81" w:rsidP="00A81A1A">
      <w:pPr>
        <w:spacing w:after="120" w:line="240" w:lineRule="auto"/>
      </w:pPr>
    </w:p>
    <w:p w14:paraId="093A68C3" w14:textId="324E2848" w:rsidR="006E6145" w:rsidRDefault="006E6145" w:rsidP="00A81A1A">
      <w:pPr>
        <w:spacing w:after="120" w:line="240" w:lineRule="auto"/>
      </w:pPr>
      <w:r w:rsidRPr="006E6145">
        <w:t xml:space="preserve">3.1.2 Axes de la stratégie d'alignement  </w:t>
      </w:r>
    </w:p>
    <w:p w14:paraId="04EF1E87" w14:textId="20D43DC1" w:rsidR="00D37E40" w:rsidRDefault="00D37E40" w:rsidP="006E71E5">
      <w:pPr>
        <w:pStyle w:val="Paragraphedeliste"/>
        <w:numPr>
          <w:ilvl w:val="0"/>
          <w:numId w:val="10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Bilan carbone des sociétés de gestion du Groupe</w:t>
      </w:r>
      <w:r w:rsidR="009C04E0">
        <w:rPr>
          <w:color w:val="002060"/>
        </w:rPr>
        <w:t xml:space="preserve"> (en cours)</w:t>
      </w:r>
    </w:p>
    <w:p w14:paraId="06CCD112" w14:textId="7F3CAF38" w:rsidR="00536F0B" w:rsidRDefault="00F30D3E" w:rsidP="006E71E5">
      <w:pPr>
        <w:pStyle w:val="Paragraphedeliste"/>
        <w:numPr>
          <w:ilvl w:val="0"/>
          <w:numId w:val="10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Actions</w:t>
      </w:r>
      <w:r w:rsidR="009C04E0">
        <w:rPr>
          <w:color w:val="002060"/>
        </w:rPr>
        <w:t xml:space="preserve"> de réduction de l’empreinte carbone des sociétés de gestion du Groupe </w:t>
      </w:r>
      <w:r>
        <w:rPr>
          <w:color w:val="002060"/>
        </w:rPr>
        <w:t>(</w:t>
      </w:r>
      <w:r w:rsidR="005212B6">
        <w:rPr>
          <w:color w:val="002060"/>
        </w:rPr>
        <w:t xml:space="preserve">Plan d’actions </w:t>
      </w:r>
      <w:r w:rsidR="0059166E">
        <w:rPr>
          <w:color w:val="002060"/>
        </w:rPr>
        <w:t>à venir</w:t>
      </w:r>
      <w:r>
        <w:rPr>
          <w:color w:val="002060"/>
        </w:rPr>
        <w:t>)</w:t>
      </w:r>
    </w:p>
    <w:p w14:paraId="5158B54F" w14:textId="5FF52591" w:rsidR="00F30D3E" w:rsidRDefault="00F52D2D" w:rsidP="006E71E5">
      <w:pPr>
        <w:pStyle w:val="Paragraphedeliste"/>
        <w:numPr>
          <w:ilvl w:val="0"/>
          <w:numId w:val="10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Plan d’actions</w:t>
      </w:r>
      <w:r w:rsidR="00CB6992">
        <w:rPr>
          <w:color w:val="002060"/>
        </w:rPr>
        <w:t xml:space="preserve"> s</w:t>
      </w:r>
      <w:r w:rsidR="00F30D3E">
        <w:rPr>
          <w:color w:val="002060"/>
        </w:rPr>
        <w:t xml:space="preserve">ur le scope 3 </w:t>
      </w:r>
      <w:r w:rsidR="00866AC8">
        <w:rPr>
          <w:color w:val="002060"/>
        </w:rPr>
        <w:t>et</w:t>
      </w:r>
      <w:r w:rsidR="0059166E">
        <w:rPr>
          <w:color w:val="002060"/>
        </w:rPr>
        <w:t xml:space="preserve"> plus particulièrement</w:t>
      </w:r>
      <w:r w:rsidR="00866AC8">
        <w:rPr>
          <w:color w:val="002060"/>
        </w:rPr>
        <w:t xml:space="preserve"> l’empreinte carbone des entreprises en portefeuille du Groupe</w:t>
      </w:r>
      <w:r w:rsidR="0059166E">
        <w:rPr>
          <w:color w:val="002060"/>
        </w:rPr>
        <w:t xml:space="preserve"> (</w:t>
      </w:r>
      <w:r w:rsidR="00A27584">
        <w:rPr>
          <w:color w:val="002060"/>
        </w:rPr>
        <w:t>&gt;99% de l’empreinte carbone scope 1, 2 et 3 du Groupe Siparex)</w:t>
      </w:r>
      <w:r w:rsidR="00CB6992">
        <w:rPr>
          <w:color w:val="002060"/>
        </w:rPr>
        <w:t> :</w:t>
      </w:r>
    </w:p>
    <w:p w14:paraId="0A420A4C" w14:textId="3AE4BC80" w:rsidR="00CB6992" w:rsidRDefault="004F2D06" w:rsidP="006E71E5">
      <w:pPr>
        <w:pStyle w:val="Paragraphedeliste"/>
        <w:numPr>
          <w:ilvl w:val="1"/>
          <w:numId w:val="8"/>
        </w:numPr>
        <w:spacing w:after="120" w:line="240" w:lineRule="auto"/>
        <w:ind w:left="709"/>
        <w:contextualSpacing w:val="0"/>
        <w:jc w:val="both"/>
        <w:rPr>
          <w:color w:val="002060"/>
        </w:rPr>
      </w:pPr>
      <w:r>
        <w:rPr>
          <w:color w:val="002060"/>
        </w:rPr>
        <w:t>Comme indiqué au 3.1.1, l</w:t>
      </w:r>
      <w:r w:rsidR="006E71E5">
        <w:rPr>
          <w:color w:val="002060"/>
        </w:rPr>
        <w:t>ancement</w:t>
      </w:r>
      <w:r w:rsidR="006E71E5" w:rsidRPr="006E71E5">
        <w:rPr>
          <w:color w:val="002060"/>
        </w:rPr>
        <w:t xml:space="preserve"> de </w:t>
      </w:r>
      <w:r w:rsidR="005366A1">
        <w:rPr>
          <w:color w:val="002060"/>
        </w:rPr>
        <w:t>véhicules d’investissement</w:t>
      </w:r>
      <w:r w:rsidR="006E71E5" w:rsidRPr="006E71E5">
        <w:rPr>
          <w:color w:val="002060"/>
        </w:rPr>
        <w:t xml:space="preserve"> </w:t>
      </w:r>
      <w:r w:rsidR="00AF0C8F">
        <w:rPr>
          <w:color w:val="002060"/>
        </w:rPr>
        <w:t xml:space="preserve">dits </w:t>
      </w:r>
      <w:r w:rsidR="005366A1">
        <w:rPr>
          <w:color w:val="002060"/>
        </w:rPr>
        <w:t xml:space="preserve">article 9 </w:t>
      </w:r>
      <w:r w:rsidR="00586BCB">
        <w:rPr>
          <w:color w:val="002060"/>
        </w:rPr>
        <w:t xml:space="preserve">au sens de SFDR avec pour objectif environnemental la réduction </w:t>
      </w:r>
      <w:r w:rsidR="005B71E5">
        <w:rPr>
          <w:color w:val="002060"/>
        </w:rPr>
        <w:t>des émissions de GES</w:t>
      </w:r>
      <w:r w:rsidR="006F5820">
        <w:rPr>
          <w:color w:val="002060"/>
        </w:rPr>
        <w:t xml:space="preserve"> </w:t>
      </w:r>
      <w:r w:rsidR="007F7295">
        <w:rPr>
          <w:color w:val="002060"/>
        </w:rPr>
        <w:t>en cohérence avec les objectifs de l’Accord de Paris.</w:t>
      </w:r>
    </w:p>
    <w:p w14:paraId="548B0F4B" w14:textId="5F8BAF31" w:rsidR="00586BCB" w:rsidRDefault="00586BCB" w:rsidP="006E71E5">
      <w:pPr>
        <w:pStyle w:val="Paragraphedeliste"/>
        <w:numPr>
          <w:ilvl w:val="1"/>
          <w:numId w:val="8"/>
        </w:numPr>
        <w:spacing w:after="120" w:line="240" w:lineRule="auto"/>
        <w:ind w:left="709"/>
        <w:contextualSpacing w:val="0"/>
        <w:jc w:val="both"/>
        <w:rPr>
          <w:color w:val="002060"/>
        </w:rPr>
      </w:pPr>
      <w:r>
        <w:rPr>
          <w:color w:val="002060"/>
        </w:rPr>
        <w:t xml:space="preserve">Lancement </w:t>
      </w:r>
      <w:r w:rsidR="005B71E5">
        <w:rPr>
          <w:color w:val="002060"/>
        </w:rPr>
        <w:t xml:space="preserve">de véhicules d’investissement </w:t>
      </w:r>
      <w:r w:rsidR="00AF0C8F">
        <w:rPr>
          <w:color w:val="002060"/>
        </w:rPr>
        <w:t xml:space="preserve">dits </w:t>
      </w:r>
      <w:r w:rsidR="005B71E5">
        <w:rPr>
          <w:color w:val="002060"/>
        </w:rPr>
        <w:t>article</w:t>
      </w:r>
      <w:r w:rsidR="00AF0C8F">
        <w:rPr>
          <w:color w:val="002060"/>
        </w:rPr>
        <w:t xml:space="preserve"> 8 au sens de SFDR avec les caractéristiques suivantes :</w:t>
      </w:r>
    </w:p>
    <w:p w14:paraId="29FC1295" w14:textId="6CDC4C1B" w:rsidR="00AF0C8F" w:rsidRDefault="00AF0C8F" w:rsidP="00AF0C8F">
      <w:pPr>
        <w:pStyle w:val="Paragraphedeliste"/>
        <w:numPr>
          <w:ilvl w:val="2"/>
          <w:numId w:val="8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>Politique d’exclusion sectorielle</w:t>
      </w:r>
      <w:r w:rsidR="006A236E">
        <w:rPr>
          <w:color w:val="002060"/>
        </w:rPr>
        <w:t xml:space="preserve"> visant les </w:t>
      </w:r>
      <w:r w:rsidR="006A236E" w:rsidRPr="006A236E">
        <w:rPr>
          <w:color w:val="002060"/>
        </w:rPr>
        <w:t>activités préjudiciables à l'environnement</w:t>
      </w:r>
      <w:r w:rsidR="00BC25C6">
        <w:rPr>
          <w:color w:val="002060"/>
        </w:rPr>
        <w:t>.</w:t>
      </w:r>
    </w:p>
    <w:p w14:paraId="341A7D54" w14:textId="4454A3E0" w:rsidR="00AF0C8F" w:rsidRDefault="00BA58B5" w:rsidP="00AF0C8F">
      <w:pPr>
        <w:pStyle w:val="Paragraphedeliste"/>
        <w:numPr>
          <w:ilvl w:val="2"/>
          <w:numId w:val="8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>Engagement</w:t>
      </w:r>
      <w:r w:rsidR="00521FF0">
        <w:rPr>
          <w:color w:val="002060"/>
        </w:rPr>
        <w:t xml:space="preserve">s ESG </w:t>
      </w:r>
      <w:r w:rsidR="006F155D">
        <w:rPr>
          <w:color w:val="002060"/>
        </w:rPr>
        <w:t>et Climat</w:t>
      </w:r>
      <w:r w:rsidR="00CB787C">
        <w:rPr>
          <w:color w:val="002060"/>
        </w:rPr>
        <w:t> </w:t>
      </w:r>
      <w:r w:rsidR="00AD54A6">
        <w:rPr>
          <w:color w:val="002060"/>
        </w:rPr>
        <w:t>en matière de</w:t>
      </w:r>
      <w:r w:rsidR="00CB787C">
        <w:rPr>
          <w:color w:val="002060"/>
        </w:rPr>
        <w:t xml:space="preserve"> processus, </w:t>
      </w:r>
      <w:r w:rsidR="00AD54A6">
        <w:rPr>
          <w:color w:val="002060"/>
        </w:rPr>
        <w:t>d’</w:t>
      </w:r>
      <w:r w:rsidR="00CB787C">
        <w:rPr>
          <w:color w:val="002060"/>
        </w:rPr>
        <w:t xml:space="preserve">outils et </w:t>
      </w:r>
      <w:r w:rsidR="00AD54A6">
        <w:rPr>
          <w:color w:val="002060"/>
        </w:rPr>
        <w:t>d’</w:t>
      </w:r>
      <w:r w:rsidR="00CB787C">
        <w:rPr>
          <w:color w:val="002060"/>
        </w:rPr>
        <w:t>initiatives</w:t>
      </w:r>
      <w:r w:rsidR="006F155D">
        <w:rPr>
          <w:color w:val="002060"/>
        </w:rPr>
        <w:t xml:space="preserve"> </w:t>
      </w:r>
      <w:r w:rsidR="00C24AE2">
        <w:rPr>
          <w:color w:val="002060"/>
        </w:rPr>
        <w:t>visant à</w:t>
      </w:r>
      <w:r w:rsidR="00AD54A6" w:rsidRPr="00B6558A">
        <w:rPr>
          <w:color w:val="002060"/>
        </w:rPr>
        <w:t xml:space="preserve"> </w:t>
      </w:r>
      <w:r w:rsidR="00C24AE2">
        <w:rPr>
          <w:color w:val="002060"/>
        </w:rPr>
        <w:t xml:space="preserve">mesurer l’empreinte carbone et à </w:t>
      </w:r>
      <w:r w:rsidR="00AD54A6" w:rsidRPr="00B6558A">
        <w:rPr>
          <w:color w:val="002060"/>
        </w:rPr>
        <w:t xml:space="preserve">maximiser la </w:t>
      </w:r>
      <w:r w:rsidR="00C24AE2">
        <w:rPr>
          <w:color w:val="002060"/>
        </w:rPr>
        <w:t xml:space="preserve">réduction </w:t>
      </w:r>
      <w:r w:rsidR="00F45617">
        <w:rPr>
          <w:color w:val="002060"/>
        </w:rPr>
        <w:t>des émissions de GES ;</w:t>
      </w:r>
      <w:r w:rsidR="00AD54A6" w:rsidRPr="00B6558A">
        <w:rPr>
          <w:color w:val="002060"/>
        </w:rPr>
        <w:t xml:space="preserve"> </w:t>
      </w:r>
      <w:r w:rsidR="006F155D">
        <w:rPr>
          <w:color w:val="002060"/>
        </w:rPr>
        <w:t xml:space="preserve">à commencer par </w:t>
      </w:r>
      <w:r w:rsidR="00BD5DA7">
        <w:rPr>
          <w:color w:val="002060"/>
        </w:rPr>
        <w:t xml:space="preserve">i) </w:t>
      </w:r>
      <w:r w:rsidR="004C65E5">
        <w:rPr>
          <w:color w:val="002060"/>
        </w:rPr>
        <w:t>la réalisation d’un diagnostic ESG et Climat lors de l’investissement (analyse de double matérialité</w:t>
      </w:r>
      <w:r w:rsidR="00F45617">
        <w:rPr>
          <w:color w:val="002060"/>
        </w:rPr>
        <w:t xml:space="preserve"> et</w:t>
      </w:r>
      <w:r w:rsidR="004C65E5">
        <w:rPr>
          <w:color w:val="002060"/>
        </w:rPr>
        <w:t xml:space="preserve"> </w:t>
      </w:r>
      <w:r w:rsidR="00843DE7">
        <w:rPr>
          <w:color w:val="002060"/>
        </w:rPr>
        <w:t>des incidences négatives)</w:t>
      </w:r>
      <w:r w:rsidR="00BD5DA7">
        <w:rPr>
          <w:color w:val="002060"/>
        </w:rPr>
        <w:t xml:space="preserve">, ii) la réalisation d’un bilan carbone </w:t>
      </w:r>
      <w:r w:rsidR="005128D6">
        <w:rPr>
          <w:color w:val="002060"/>
        </w:rPr>
        <w:t>complet à l’investissement, iii) la définition d’une stratégie de décarbonation</w:t>
      </w:r>
      <w:r w:rsidR="00836C6E">
        <w:rPr>
          <w:color w:val="002060"/>
        </w:rPr>
        <w:t xml:space="preserve"> centrée sur les principaux postes d’émissions</w:t>
      </w:r>
      <w:r w:rsidR="00BC25C6">
        <w:rPr>
          <w:color w:val="002060"/>
        </w:rPr>
        <w:t xml:space="preserve"> du scope 1 et 2</w:t>
      </w:r>
      <w:r w:rsidR="00836C6E">
        <w:rPr>
          <w:color w:val="002060"/>
        </w:rPr>
        <w:t xml:space="preserve">, iv) </w:t>
      </w:r>
      <w:r w:rsidR="00B702C2">
        <w:rPr>
          <w:color w:val="002060"/>
        </w:rPr>
        <w:t>la définition d’objectifs à m</w:t>
      </w:r>
      <w:r w:rsidR="00BC25C6">
        <w:rPr>
          <w:color w:val="002060"/>
        </w:rPr>
        <w:t xml:space="preserve">oyen terme de réduction du scope 3, v) </w:t>
      </w:r>
      <w:r w:rsidR="00E95A0D">
        <w:rPr>
          <w:color w:val="002060"/>
        </w:rPr>
        <w:t xml:space="preserve">le suivi annuel du bilan carbone scope 1 et 2 </w:t>
      </w:r>
      <w:r w:rsidR="00CF7FCC">
        <w:rPr>
          <w:color w:val="002060"/>
        </w:rPr>
        <w:t>ainsi que de l’intensité carbone de l’activité</w:t>
      </w:r>
      <w:r w:rsidR="00BC25C6">
        <w:rPr>
          <w:color w:val="002060"/>
        </w:rPr>
        <w:t>.</w:t>
      </w:r>
      <w:r w:rsidR="005128D6">
        <w:rPr>
          <w:color w:val="002060"/>
        </w:rPr>
        <w:t xml:space="preserve"> </w:t>
      </w:r>
    </w:p>
    <w:p w14:paraId="256C96EB" w14:textId="24CAC398" w:rsidR="00AF0C8F" w:rsidRDefault="00AE0490" w:rsidP="00AF0C8F">
      <w:pPr>
        <w:pStyle w:val="Paragraphedeliste"/>
        <w:numPr>
          <w:ilvl w:val="2"/>
          <w:numId w:val="8"/>
        </w:numPr>
        <w:spacing w:after="120" w:line="240" w:lineRule="auto"/>
        <w:ind w:left="1134"/>
        <w:contextualSpacing w:val="0"/>
        <w:jc w:val="both"/>
        <w:rPr>
          <w:color w:val="002060"/>
        </w:rPr>
      </w:pPr>
      <w:r>
        <w:rPr>
          <w:color w:val="002060"/>
        </w:rPr>
        <w:t xml:space="preserve">La mise à disposition d’expertises, de réseaux et de moyens d’accompagnement stratégiques et opérationnels </w:t>
      </w:r>
      <w:r w:rsidR="00476110">
        <w:rPr>
          <w:color w:val="002060"/>
        </w:rPr>
        <w:t>dédiés à la mise en œuvre des stratégies de décarbonation des entreprises en portefeuille.</w:t>
      </w:r>
    </w:p>
    <w:p w14:paraId="09734117" w14:textId="77777777" w:rsidR="000002AE" w:rsidRDefault="000002AE" w:rsidP="00A81A1A">
      <w:pPr>
        <w:spacing w:after="120" w:line="240" w:lineRule="auto"/>
      </w:pPr>
    </w:p>
    <w:p w14:paraId="500AF3F7" w14:textId="07049410" w:rsidR="006E6145" w:rsidRDefault="00ED0737" w:rsidP="00A81A1A">
      <w:pPr>
        <w:spacing w:after="120" w:line="240" w:lineRule="auto"/>
      </w:pPr>
      <w:r w:rsidRPr="00ED0737">
        <w:t>3.1.3 Plans d'amélioration continue</w:t>
      </w:r>
    </w:p>
    <w:p w14:paraId="57ADBE14" w14:textId="4869D4C7" w:rsidR="00F20BE5" w:rsidRPr="00F20BE5" w:rsidRDefault="00F20BE5" w:rsidP="00F20BE5">
      <w:pPr>
        <w:spacing w:after="120" w:line="240" w:lineRule="auto"/>
        <w:jc w:val="both"/>
        <w:rPr>
          <w:color w:val="002060"/>
          <w:u w:val="single"/>
        </w:rPr>
      </w:pPr>
      <w:r w:rsidRPr="00F20BE5">
        <w:rPr>
          <w:color w:val="002060"/>
          <w:u w:val="single"/>
        </w:rPr>
        <w:t>A court terme</w:t>
      </w:r>
    </w:p>
    <w:p w14:paraId="7A7EB9F3" w14:textId="42AB86D1" w:rsidR="00F20BE5" w:rsidRDefault="00561B25" w:rsidP="00BB1229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Formation de l’ensemble des collaborateurs aux enjeux du changement climatique et de la mise en œuvre de la stratégie Climat du Groupe Siparex</w:t>
      </w:r>
    </w:p>
    <w:p w14:paraId="35DA56D1" w14:textId="6A16B520" w:rsidR="00155142" w:rsidRDefault="00155142" w:rsidP="00BB1229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Bilan carbone des sociétés de gestion du Groupe Siparex</w:t>
      </w:r>
    </w:p>
    <w:p w14:paraId="7ADC20C5" w14:textId="23B6C618" w:rsidR="00561B25" w:rsidRDefault="00561B25" w:rsidP="00BB1229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Recrutement d’une ressource dédiée à la mise en œuvre de la stratégie Climat du Groupe Siparex au sein de l’Equipe ESG</w:t>
      </w:r>
    </w:p>
    <w:p w14:paraId="6BB69D9A" w14:textId="4704B2E7" w:rsidR="00561B25" w:rsidRDefault="006276C6" w:rsidP="00BB1229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Renforcement des outils et moyens dédiés à la mise en œuvre des stratégies de décarbonation des entreprises en portefeuille</w:t>
      </w:r>
      <w:r w:rsidR="006F08F1">
        <w:rPr>
          <w:color w:val="002060"/>
        </w:rPr>
        <w:t xml:space="preserve"> (</w:t>
      </w:r>
      <w:r w:rsidR="00155142">
        <w:rPr>
          <w:color w:val="002060"/>
        </w:rPr>
        <w:t xml:space="preserve">outil d’analyse </w:t>
      </w:r>
      <w:r w:rsidR="006F08F1">
        <w:rPr>
          <w:color w:val="002060"/>
        </w:rPr>
        <w:t xml:space="preserve">de la matérialité des enjeux climatiques, référencement d’experts </w:t>
      </w:r>
      <w:r w:rsidR="00DB2E7F">
        <w:rPr>
          <w:color w:val="002060"/>
        </w:rPr>
        <w:t xml:space="preserve">du bilan carbone et </w:t>
      </w:r>
      <w:r w:rsidR="00B36404">
        <w:rPr>
          <w:color w:val="002060"/>
        </w:rPr>
        <w:t xml:space="preserve">de la définition </w:t>
      </w:r>
      <w:r w:rsidR="00D12883">
        <w:rPr>
          <w:color w:val="002060"/>
        </w:rPr>
        <w:t>ainsi que</w:t>
      </w:r>
      <w:r w:rsidR="00B36404">
        <w:rPr>
          <w:color w:val="002060"/>
        </w:rPr>
        <w:t xml:space="preserve"> de la mise en œuvre de trajectoires </w:t>
      </w:r>
      <w:r w:rsidR="00B36404" w:rsidRPr="00B35038">
        <w:rPr>
          <w:color w:val="002060"/>
        </w:rPr>
        <w:t>de réduction des émissions de</w:t>
      </w:r>
      <w:r w:rsidR="00D12883">
        <w:rPr>
          <w:color w:val="002060"/>
        </w:rPr>
        <w:t xml:space="preserve"> GES</w:t>
      </w:r>
      <w:r w:rsidR="007F3FB4">
        <w:rPr>
          <w:color w:val="002060"/>
        </w:rPr>
        <w:t>)</w:t>
      </w:r>
      <w:r w:rsidR="00DB2E7F">
        <w:rPr>
          <w:color w:val="002060"/>
        </w:rPr>
        <w:t xml:space="preserve"> </w:t>
      </w:r>
    </w:p>
    <w:p w14:paraId="3F4F372B" w14:textId="77777777" w:rsidR="00F20BE5" w:rsidRDefault="00F20BE5" w:rsidP="00F20BE5">
      <w:pPr>
        <w:spacing w:after="120" w:line="240" w:lineRule="auto"/>
        <w:jc w:val="both"/>
        <w:rPr>
          <w:color w:val="002060"/>
        </w:rPr>
      </w:pPr>
    </w:p>
    <w:p w14:paraId="10037774" w14:textId="77777777" w:rsidR="007F3FB4" w:rsidRDefault="007F3FB4">
      <w:pPr>
        <w:rPr>
          <w:color w:val="002060"/>
          <w:u w:val="single"/>
        </w:rPr>
      </w:pPr>
      <w:r>
        <w:rPr>
          <w:color w:val="002060"/>
          <w:u w:val="single"/>
        </w:rPr>
        <w:br w:type="page"/>
      </w:r>
    </w:p>
    <w:p w14:paraId="1273C74D" w14:textId="1A502761" w:rsidR="00F20BE5" w:rsidRPr="00F20BE5" w:rsidRDefault="00F20BE5" w:rsidP="00F20BE5">
      <w:pPr>
        <w:spacing w:after="120" w:line="240" w:lineRule="auto"/>
        <w:jc w:val="both"/>
        <w:rPr>
          <w:color w:val="002060"/>
          <w:u w:val="single"/>
        </w:rPr>
      </w:pPr>
      <w:r w:rsidRPr="00F20BE5">
        <w:rPr>
          <w:color w:val="002060"/>
          <w:u w:val="single"/>
        </w:rPr>
        <w:lastRenderedPageBreak/>
        <w:t>A moyen terme</w:t>
      </w:r>
    </w:p>
    <w:p w14:paraId="7B84FFF4" w14:textId="04CFABA0" w:rsidR="00381F18" w:rsidRDefault="00381F18" w:rsidP="00381F18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Définition d’une trajectoire de </w:t>
      </w:r>
      <w:r w:rsidRPr="00B35038">
        <w:rPr>
          <w:color w:val="002060"/>
        </w:rPr>
        <w:t>réduction des émissions de</w:t>
      </w:r>
      <w:r>
        <w:rPr>
          <w:color w:val="002060"/>
        </w:rPr>
        <w:t xml:space="preserve"> GES en ligne avec l’Accord de Paris pour les sociétés de gestion du Groupe.</w:t>
      </w:r>
    </w:p>
    <w:p w14:paraId="1BB1B6C6" w14:textId="130C90BA" w:rsidR="00BB1229" w:rsidRDefault="00E06481" w:rsidP="00BB1229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Augmentation</w:t>
      </w:r>
      <w:r w:rsidR="00BB1229">
        <w:rPr>
          <w:color w:val="002060"/>
        </w:rPr>
        <w:t xml:space="preserve"> </w:t>
      </w:r>
      <w:r>
        <w:rPr>
          <w:color w:val="002060"/>
        </w:rPr>
        <w:t>du nombre de</w:t>
      </w:r>
      <w:r w:rsidR="00BB1229">
        <w:rPr>
          <w:color w:val="002060"/>
        </w:rPr>
        <w:t xml:space="preserve"> véhicules d’investissement </w:t>
      </w:r>
      <w:r>
        <w:rPr>
          <w:color w:val="002060"/>
        </w:rPr>
        <w:t>dits article 9 au sens de SFDR avec pour objectif environnemental la réduction des émissions de GES en cohérence avec les objectifs de l’Accord de Paris</w:t>
      </w:r>
      <w:r w:rsidR="00F20BE5">
        <w:rPr>
          <w:color w:val="002060"/>
        </w:rPr>
        <w:t>.</w:t>
      </w:r>
    </w:p>
    <w:p w14:paraId="58B095A3" w14:textId="77777777" w:rsidR="00ED0737" w:rsidRDefault="00ED0737" w:rsidP="00A81A1A">
      <w:pPr>
        <w:spacing w:after="120" w:line="240" w:lineRule="auto"/>
      </w:pPr>
    </w:p>
    <w:p w14:paraId="707EA4AA" w14:textId="1361DCDA" w:rsidR="00ED0737" w:rsidRDefault="00ED0737" w:rsidP="00A81A1A">
      <w:pPr>
        <w:spacing w:after="120" w:line="240" w:lineRule="auto"/>
      </w:pPr>
      <w:r w:rsidRPr="00ED0737">
        <w:t>3.2. Politiques d'exclusion liées au climat</w:t>
      </w:r>
    </w:p>
    <w:p w14:paraId="555851CE" w14:textId="3230BD46" w:rsidR="00ED0737" w:rsidRDefault="00ED0737" w:rsidP="00A81A1A">
      <w:pPr>
        <w:spacing w:after="120" w:line="240" w:lineRule="auto"/>
      </w:pPr>
      <w:r w:rsidRPr="00ED0737">
        <w:t xml:space="preserve">3.2.2 Cadre de mise en </w:t>
      </w:r>
      <w:r>
        <w:t>œuvre</w:t>
      </w:r>
    </w:p>
    <w:p w14:paraId="4F59D8D2" w14:textId="77777777" w:rsidR="00204E2C" w:rsidRPr="00204E2C" w:rsidRDefault="00204E2C" w:rsidP="00A81A1A">
      <w:pPr>
        <w:spacing w:after="120" w:line="240" w:lineRule="auto"/>
        <w:rPr>
          <w:color w:val="002060"/>
          <w:u w:val="single"/>
        </w:rPr>
      </w:pPr>
      <w:r w:rsidRPr="00204E2C">
        <w:rPr>
          <w:color w:val="002060"/>
          <w:u w:val="single"/>
        </w:rPr>
        <w:t xml:space="preserve">Explication </w:t>
      </w:r>
    </w:p>
    <w:p w14:paraId="3B5E21DF" w14:textId="25464C58" w:rsidR="00080194" w:rsidRDefault="00204E2C" w:rsidP="00204E2C">
      <w:pPr>
        <w:spacing w:after="120" w:line="240" w:lineRule="auto"/>
        <w:jc w:val="both"/>
        <w:rPr>
          <w:color w:val="002060"/>
        </w:rPr>
      </w:pPr>
      <w:r w:rsidRPr="00204E2C">
        <w:rPr>
          <w:color w:val="002060"/>
        </w:rPr>
        <w:t xml:space="preserve">La hausse continue des émissions </w:t>
      </w:r>
      <w:r>
        <w:rPr>
          <w:color w:val="002060"/>
        </w:rPr>
        <w:t>de GES</w:t>
      </w:r>
      <w:r w:rsidRPr="00204E2C">
        <w:rPr>
          <w:color w:val="002060"/>
        </w:rPr>
        <w:t xml:space="preserve"> due aux activités humaines et économiques est responsable de l’augmentation de la température et des changements climatiques. Le charbon joue un rôle central dans </w:t>
      </w:r>
      <w:r w:rsidR="00CD625A">
        <w:rPr>
          <w:color w:val="002060"/>
        </w:rPr>
        <w:t>cet effet d’emballement climatique</w:t>
      </w:r>
      <w:r w:rsidR="00080194">
        <w:rPr>
          <w:color w:val="002060"/>
        </w:rPr>
        <w:t>.</w:t>
      </w:r>
      <w:r w:rsidR="00CD625A">
        <w:rPr>
          <w:color w:val="002060"/>
        </w:rPr>
        <w:t xml:space="preserve"> </w:t>
      </w:r>
    </w:p>
    <w:p w14:paraId="06676C65" w14:textId="1D21AB04" w:rsidR="00080194" w:rsidRDefault="00080194" w:rsidP="000D185C">
      <w:pPr>
        <w:spacing w:after="360" w:line="240" w:lineRule="auto"/>
        <w:jc w:val="both"/>
        <w:rPr>
          <w:color w:val="002060"/>
        </w:rPr>
      </w:pPr>
      <w:r>
        <w:rPr>
          <w:color w:val="002060"/>
        </w:rPr>
        <w:t>Siparex</w:t>
      </w:r>
      <w:r w:rsidR="00204E2C" w:rsidRPr="00204E2C">
        <w:rPr>
          <w:color w:val="002060"/>
        </w:rPr>
        <w:t xml:space="preserve"> a mis en place dès </w:t>
      </w:r>
      <w:r>
        <w:rPr>
          <w:color w:val="002060"/>
        </w:rPr>
        <w:t>2020</w:t>
      </w:r>
      <w:r w:rsidR="00204E2C" w:rsidRPr="00204E2C">
        <w:rPr>
          <w:color w:val="002060"/>
        </w:rPr>
        <w:t xml:space="preserve"> une politique d’exclusion du secteur du charbon</w:t>
      </w:r>
      <w:r w:rsidR="008D1510">
        <w:rPr>
          <w:color w:val="002060"/>
        </w:rPr>
        <w:t> : « </w:t>
      </w:r>
      <w:r w:rsidR="008D1510" w:rsidRPr="00190782">
        <w:rPr>
          <w:color w:val="002060"/>
        </w:rPr>
        <w:t>activités préjudiciables à l'environnement (en ce inclus toute entreprise réalisant plus de 10% de son chiffre d’affaires au travers d’activités liées au charbon, telles que, notamment, l’extraction du charbon ou de la production d’électricité par centrale au charbon)</w:t>
      </w:r>
      <w:r w:rsidR="008D1510">
        <w:rPr>
          <w:color w:val="002060"/>
        </w:rPr>
        <w:t> »</w:t>
      </w:r>
    </w:p>
    <w:p w14:paraId="0B648F56" w14:textId="77777777" w:rsidR="00080194" w:rsidRDefault="00204E2C" w:rsidP="00204E2C">
      <w:pPr>
        <w:spacing w:after="120" w:line="240" w:lineRule="auto"/>
        <w:jc w:val="both"/>
        <w:rPr>
          <w:color w:val="002060"/>
        </w:rPr>
      </w:pPr>
      <w:r w:rsidRPr="00080194">
        <w:rPr>
          <w:color w:val="002060"/>
          <w:u w:val="single"/>
        </w:rPr>
        <w:t>Application</w:t>
      </w:r>
      <w:r w:rsidRPr="00204E2C">
        <w:rPr>
          <w:color w:val="002060"/>
        </w:rPr>
        <w:t xml:space="preserve"> </w:t>
      </w:r>
    </w:p>
    <w:p w14:paraId="272F1CAB" w14:textId="565F2C2A" w:rsidR="00CF1456" w:rsidRDefault="00204E2C" w:rsidP="000D185C">
      <w:pPr>
        <w:spacing w:after="360" w:line="240" w:lineRule="auto"/>
        <w:jc w:val="both"/>
        <w:rPr>
          <w:color w:val="002060"/>
        </w:rPr>
      </w:pPr>
      <w:r w:rsidRPr="00204E2C">
        <w:rPr>
          <w:color w:val="002060"/>
        </w:rPr>
        <w:t xml:space="preserve">Cette politique </w:t>
      </w:r>
      <w:r w:rsidR="008D1510">
        <w:rPr>
          <w:color w:val="002060"/>
        </w:rPr>
        <w:t xml:space="preserve">d’exclusion </w:t>
      </w:r>
      <w:r w:rsidRPr="00204E2C">
        <w:rPr>
          <w:color w:val="002060"/>
        </w:rPr>
        <w:t xml:space="preserve">s’applique </w:t>
      </w:r>
      <w:r w:rsidR="008D1510">
        <w:rPr>
          <w:color w:val="002060"/>
        </w:rPr>
        <w:t>aux</w:t>
      </w:r>
      <w:r w:rsidRPr="00204E2C">
        <w:rPr>
          <w:color w:val="002060"/>
        </w:rPr>
        <w:t xml:space="preserve"> activités liées au </w:t>
      </w:r>
      <w:r w:rsidR="0083045D" w:rsidRPr="0083045D">
        <w:rPr>
          <w:color w:val="002060"/>
        </w:rPr>
        <w:t>charbon thermique ou métallurgique</w:t>
      </w:r>
      <w:r w:rsidR="0083045D">
        <w:rPr>
          <w:color w:val="002060"/>
        </w:rPr>
        <w:t>.</w:t>
      </w:r>
    </w:p>
    <w:p w14:paraId="1C29D2CB" w14:textId="77777777" w:rsidR="00CF1456" w:rsidRDefault="00204E2C" w:rsidP="00204E2C">
      <w:pPr>
        <w:spacing w:after="120" w:line="240" w:lineRule="auto"/>
        <w:jc w:val="both"/>
        <w:rPr>
          <w:color w:val="002060"/>
        </w:rPr>
      </w:pPr>
      <w:r w:rsidRPr="00CF1456">
        <w:rPr>
          <w:color w:val="002060"/>
          <w:u w:val="single"/>
        </w:rPr>
        <w:t>Périmètre</w:t>
      </w:r>
      <w:r w:rsidRPr="00204E2C">
        <w:rPr>
          <w:color w:val="002060"/>
        </w:rPr>
        <w:t xml:space="preserve"> </w:t>
      </w:r>
    </w:p>
    <w:p w14:paraId="4F3AF4E5" w14:textId="20710BF5" w:rsidR="00ED0737" w:rsidRDefault="00DA1A38" w:rsidP="00204E2C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Cette </w:t>
      </w:r>
      <w:r w:rsidRPr="00204E2C">
        <w:rPr>
          <w:color w:val="002060"/>
        </w:rPr>
        <w:t xml:space="preserve">politique </w:t>
      </w:r>
      <w:r>
        <w:rPr>
          <w:color w:val="002060"/>
        </w:rPr>
        <w:t xml:space="preserve">d’exclusion </w:t>
      </w:r>
      <w:r w:rsidRPr="00204E2C">
        <w:rPr>
          <w:color w:val="002060"/>
        </w:rPr>
        <w:t xml:space="preserve">s’applique </w:t>
      </w:r>
      <w:r>
        <w:rPr>
          <w:color w:val="002060"/>
        </w:rPr>
        <w:t>e</w:t>
      </w:r>
      <w:r w:rsidR="00204E2C" w:rsidRPr="00204E2C">
        <w:rPr>
          <w:color w:val="002060"/>
        </w:rPr>
        <w:t xml:space="preserve">n principe à tous les </w:t>
      </w:r>
      <w:r>
        <w:rPr>
          <w:color w:val="002060"/>
        </w:rPr>
        <w:t xml:space="preserve">véhicules d’investissement </w:t>
      </w:r>
      <w:r w:rsidR="00923930">
        <w:rPr>
          <w:color w:val="002060"/>
        </w:rPr>
        <w:t>créés</w:t>
      </w:r>
      <w:r w:rsidR="00204E2C" w:rsidRPr="00204E2C">
        <w:rPr>
          <w:color w:val="002060"/>
        </w:rPr>
        <w:t xml:space="preserve"> par </w:t>
      </w:r>
      <w:r w:rsidR="00DC321B">
        <w:rPr>
          <w:color w:val="002060"/>
        </w:rPr>
        <w:t>Siparex</w:t>
      </w:r>
      <w:r w:rsidR="00923930">
        <w:rPr>
          <w:color w:val="002060"/>
        </w:rPr>
        <w:t xml:space="preserve"> depuis 2020.</w:t>
      </w:r>
    </w:p>
    <w:p w14:paraId="2CB98DA8" w14:textId="77777777" w:rsidR="00923930" w:rsidRDefault="00923930" w:rsidP="00204E2C">
      <w:pPr>
        <w:spacing w:after="120" w:line="240" w:lineRule="auto"/>
        <w:jc w:val="both"/>
      </w:pPr>
    </w:p>
    <w:p w14:paraId="6CB81EFC" w14:textId="04241D64" w:rsidR="00ED0737" w:rsidRDefault="002F0D9A" w:rsidP="00A81A1A">
      <w:pPr>
        <w:spacing w:after="120" w:line="240" w:lineRule="auto"/>
      </w:pPr>
      <w:r w:rsidRPr="002F0D9A">
        <w:t>3.2.3 Seuils et suivi</w:t>
      </w:r>
    </w:p>
    <w:p w14:paraId="54C32ACB" w14:textId="07968EB4" w:rsidR="002F0D9A" w:rsidRPr="00655A23" w:rsidRDefault="00655A23" w:rsidP="0002073A">
      <w:pPr>
        <w:spacing w:after="120" w:line="240" w:lineRule="auto"/>
        <w:jc w:val="both"/>
        <w:rPr>
          <w:color w:val="002060"/>
          <w:u w:val="single"/>
        </w:rPr>
      </w:pPr>
      <w:r w:rsidRPr="00655A23">
        <w:rPr>
          <w:color w:val="002060"/>
          <w:u w:val="single"/>
        </w:rPr>
        <w:t>Seuil</w:t>
      </w:r>
    </w:p>
    <w:p w14:paraId="4F42DBBC" w14:textId="20E6556B" w:rsidR="00655A23" w:rsidRPr="00655A23" w:rsidRDefault="0002073A" w:rsidP="000D185C">
      <w:pPr>
        <w:spacing w:after="360" w:line="240" w:lineRule="auto"/>
        <w:jc w:val="both"/>
        <w:rPr>
          <w:color w:val="002060"/>
        </w:rPr>
      </w:pPr>
      <w:r>
        <w:rPr>
          <w:color w:val="002060"/>
        </w:rPr>
        <w:t xml:space="preserve">Plus de </w:t>
      </w:r>
      <w:r w:rsidR="00655A23" w:rsidRPr="00190782">
        <w:rPr>
          <w:color w:val="002060"/>
        </w:rPr>
        <w:t xml:space="preserve">10% </w:t>
      </w:r>
      <w:r w:rsidR="00655A23">
        <w:rPr>
          <w:color w:val="002060"/>
        </w:rPr>
        <w:t>du</w:t>
      </w:r>
      <w:r w:rsidR="00655A23" w:rsidRPr="00190782">
        <w:rPr>
          <w:color w:val="002060"/>
        </w:rPr>
        <w:t xml:space="preserve"> chiffre d’affaires </w:t>
      </w:r>
      <w:r>
        <w:rPr>
          <w:color w:val="002060"/>
        </w:rPr>
        <w:t xml:space="preserve">de l’entreprise réalisé </w:t>
      </w:r>
      <w:r w:rsidR="00655A23" w:rsidRPr="00190782">
        <w:rPr>
          <w:color w:val="002060"/>
        </w:rPr>
        <w:t>au travers d’activités liées au charbon</w:t>
      </w:r>
      <w:r>
        <w:rPr>
          <w:color w:val="002060"/>
        </w:rPr>
        <w:t>.</w:t>
      </w:r>
    </w:p>
    <w:p w14:paraId="7D1DD74B" w14:textId="78ACDCEA" w:rsidR="00655A23" w:rsidRPr="00655A23" w:rsidRDefault="00655A23" w:rsidP="0002073A">
      <w:pPr>
        <w:spacing w:after="120" w:line="240" w:lineRule="auto"/>
        <w:jc w:val="both"/>
        <w:rPr>
          <w:color w:val="002060"/>
        </w:rPr>
      </w:pPr>
      <w:r w:rsidRPr="00655A23">
        <w:rPr>
          <w:color w:val="002060"/>
          <w:u w:val="single"/>
        </w:rPr>
        <w:t>Suivi</w:t>
      </w:r>
    </w:p>
    <w:p w14:paraId="1E376D24" w14:textId="106AAF41" w:rsidR="00655A23" w:rsidRPr="00655A23" w:rsidRDefault="00655A23" w:rsidP="0002073A">
      <w:pPr>
        <w:spacing w:after="120" w:line="240" w:lineRule="auto"/>
        <w:jc w:val="both"/>
        <w:rPr>
          <w:color w:val="002060"/>
        </w:rPr>
      </w:pPr>
      <w:r w:rsidRPr="00655A23">
        <w:rPr>
          <w:color w:val="002060"/>
        </w:rPr>
        <w:t xml:space="preserve">Un contrôle de l’application de notre politique d’exclusion </w:t>
      </w:r>
      <w:r w:rsidR="003035DC">
        <w:rPr>
          <w:color w:val="002060"/>
        </w:rPr>
        <w:t xml:space="preserve">des activités liées au </w:t>
      </w:r>
      <w:r w:rsidRPr="00655A23">
        <w:rPr>
          <w:color w:val="002060"/>
        </w:rPr>
        <w:t xml:space="preserve">charbon est effectué par la </w:t>
      </w:r>
      <w:r w:rsidR="0002073A">
        <w:rPr>
          <w:color w:val="002060"/>
        </w:rPr>
        <w:t xml:space="preserve">Direction </w:t>
      </w:r>
      <w:r w:rsidRPr="00655A23">
        <w:rPr>
          <w:color w:val="002060"/>
        </w:rPr>
        <w:t xml:space="preserve">Conformité </w:t>
      </w:r>
      <w:r w:rsidR="003035DC">
        <w:rPr>
          <w:color w:val="002060"/>
        </w:rPr>
        <w:t xml:space="preserve">et Contrôle Interne </w:t>
      </w:r>
      <w:r w:rsidRPr="00655A23">
        <w:rPr>
          <w:color w:val="002060"/>
        </w:rPr>
        <w:t xml:space="preserve">une fois par an en sus des alertes </w:t>
      </w:r>
      <w:proofErr w:type="spellStart"/>
      <w:r w:rsidRPr="00655A23">
        <w:rPr>
          <w:color w:val="002060"/>
        </w:rPr>
        <w:t>pre</w:t>
      </w:r>
      <w:proofErr w:type="spellEnd"/>
      <w:r w:rsidRPr="00655A23">
        <w:rPr>
          <w:color w:val="002060"/>
        </w:rPr>
        <w:t xml:space="preserve"> et post-</w:t>
      </w:r>
      <w:proofErr w:type="spellStart"/>
      <w:r w:rsidRPr="00655A23">
        <w:rPr>
          <w:color w:val="002060"/>
        </w:rPr>
        <w:t>trade</w:t>
      </w:r>
      <w:proofErr w:type="spellEnd"/>
      <w:r w:rsidRPr="00655A23">
        <w:rPr>
          <w:color w:val="002060"/>
        </w:rPr>
        <w:t>.</w:t>
      </w:r>
    </w:p>
    <w:p w14:paraId="0A6DEDEB" w14:textId="77777777" w:rsidR="00655A23" w:rsidRPr="00655A23" w:rsidRDefault="00655A23" w:rsidP="00A81A1A">
      <w:pPr>
        <w:spacing w:after="120" w:line="240" w:lineRule="auto"/>
      </w:pPr>
    </w:p>
    <w:p w14:paraId="11A3D230" w14:textId="67D1FB8C" w:rsidR="002F0D9A" w:rsidRDefault="00854940" w:rsidP="00A81A1A">
      <w:pPr>
        <w:spacing w:after="120" w:line="240" w:lineRule="auto"/>
      </w:pPr>
      <w:r w:rsidRPr="00854940">
        <w:rPr>
          <w:b/>
          <w:bCs/>
        </w:rPr>
        <w:t>4. Construction d'une résilience à long terme</w:t>
      </w:r>
    </w:p>
    <w:p w14:paraId="69463601" w14:textId="5A77DAFC" w:rsidR="00854940" w:rsidRDefault="00854940" w:rsidP="00A81A1A">
      <w:pPr>
        <w:spacing w:after="120" w:line="240" w:lineRule="auto"/>
      </w:pPr>
      <w:r w:rsidRPr="00854940">
        <w:t>4.1 Identification et intégration des risques et opportunités aux activités / produits / services</w:t>
      </w:r>
    </w:p>
    <w:p w14:paraId="0FA07947" w14:textId="40D2AEE5" w:rsidR="00802198" w:rsidRDefault="00802198" w:rsidP="00802198">
      <w:pPr>
        <w:spacing w:after="120" w:line="240" w:lineRule="auto"/>
        <w:jc w:val="both"/>
        <w:rPr>
          <w:color w:val="002060"/>
        </w:rPr>
      </w:pPr>
      <w:r w:rsidRPr="00645FE0">
        <w:rPr>
          <w:color w:val="002060"/>
        </w:rPr>
        <w:t xml:space="preserve">Notre </w:t>
      </w:r>
      <w:r>
        <w:rPr>
          <w:color w:val="002060"/>
        </w:rPr>
        <w:t>politique</w:t>
      </w:r>
      <w:r w:rsidRPr="00645FE0">
        <w:rPr>
          <w:color w:val="002060"/>
        </w:rPr>
        <w:t xml:space="preserve"> ESG</w:t>
      </w:r>
      <w:r>
        <w:rPr>
          <w:color w:val="002060"/>
        </w:rPr>
        <w:t>, n</w:t>
      </w:r>
      <w:r w:rsidRPr="00645FE0">
        <w:rPr>
          <w:color w:val="002060"/>
        </w:rPr>
        <w:t>on spécifique au climat</w:t>
      </w:r>
      <w:r>
        <w:rPr>
          <w:color w:val="002060"/>
        </w:rPr>
        <w:t xml:space="preserve">, </w:t>
      </w:r>
      <w:r w:rsidRPr="00645FE0">
        <w:rPr>
          <w:color w:val="002060"/>
        </w:rPr>
        <w:t>intègre les risques et opportunités ESG</w:t>
      </w:r>
      <w:r w:rsidR="00A42A5B">
        <w:rPr>
          <w:color w:val="002060"/>
        </w:rPr>
        <w:t xml:space="preserve"> et Climat</w:t>
      </w:r>
      <w:r w:rsidRPr="00645FE0">
        <w:rPr>
          <w:color w:val="002060"/>
        </w:rPr>
        <w:t xml:space="preserve"> selon le principe de la double matérialité </w:t>
      </w:r>
      <w:r>
        <w:rPr>
          <w:color w:val="002060"/>
        </w:rPr>
        <w:t>visé</w:t>
      </w:r>
      <w:r w:rsidRPr="00645FE0">
        <w:rPr>
          <w:color w:val="002060"/>
        </w:rPr>
        <w:t xml:space="preserve"> par </w:t>
      </w:r>
      <w:r>
        <w:rPr>
          <w:color w:val="002060"/>
        </w:rPr>
        <w:t>la règlementation</w:t>
      </w:r>
      <w:r w:rsidRPr="00645FE0">
        <w:rPr>
          <w:color w:val="002060"/>
        </w:rPr>
        <w:t xml:space="preserve"> SFDR</w:t>
      </w:r>
      <w:r>
        <w:rPr>
          <w:color w:val="002060"/>
        </w:rPr>
        <w:t xml:space="preserve"> via la réalisation d’un diagnostic ESG et Climat lors de l’investissement.</w:t>
      </w:r>
    </w:p>
    <w:p w14:paraId="7C381C3E" w14:textId="77777777" w:rsidR="00802198" w:rsidRDefault="00802198" w:rsidP="00A81A1A">
      <w:pPr>
        <w:spacing w:after="120" w:line="240" w:lineRule="auto"/>
      </w:pPr>
    </w:p>
    <w:p w14:paraId="106CF427" w14:textId="77777777" w:rsidR="00537325" w:rsidRDefault="00537325">
      <w:r>
        <w:br w:type="page"/>
      </w:r>
    </w:p>
    <w:p w14:paraId="29578075" w14:textId="48917CC9" w:rsidR="00854940" w:rsidRDefault="00854940" w:rsidP="00A81A1A">
      <w:pPr>
        <w:spacing w:after="120" w:line="240" w:lineRule="auto"/>
      </w:pPr>
      <w:r w:rsidRPr="00854940">
        <w:lastRenderedPageBreak/>
        <w:t>4.1.2 Intégration</w:t>
      </w:r>
    </w:p>
    <w:p w14:paraId="0CDA1258" w14:textId="07263002" w:rsidR="00645FE0" w:rsidRPr="006C4632" w:rsidRDefault="006C4632" w:rsidP="00EA76AC">
      <w:pPr>
        <w:spacing w:after="120" w:line="240" w:lineRule="auto"/>
        <w:jc w:val="both"/>
        <w:rPr>
          <w:color w:val="002060"/>
        </w:rPr>
      </w:pPr>
      <w:r w:rsidRPr="006C4632">
        <w:rPr>
          <w:color w:val="002060"/>
        </w:rPr>
        <w:t>Le diagnostic ESG et Climat</w:t>
      </w:r>
      <w:r>
        <w:rPr>
          <w:color w:val="002060"/>
        </w:rPr>
        <w:t xml:space="preserve"> donne un point de référence </w:t>
      </w:r>
      <w:r w:rsidR="00EA76AC">
        <w:rPr>
          <w:color w:val="002060"/>
        </w:rPr>
        <w:t xml:space="preserve">sur lequel est bâti le plan d’actions RSE et Climat de l’entreprise </w:t>
      </w:r>
      <w:r w:rsidR="00DB3851">
        <w:rPr>
          <w:color w:val="002060"/>
        </w:rPr>
        <w:t xml:space="preserve">investie. </w:t>
      </w:r>
      <w:r w:rsidR="00DE4510">
        <w:rPr>
          <w:color w:val="002060"/>
        </w:rPr>
        <w:t>Le</w:t>
      </w:r>
      <w:r w:rsidR="00DB3851">
        <w:rPr>
          <w:color w:val="002060"/>
        </w:rPr>
        <w:t xml:space="preserve"> plan d’actions RSE et Climat </w:t>
      </w:r>
      <w:r w:rsidR="00DE4510">
        <w:rPr>
          <w:color w:val="002060"/>
        </w:rPr>
        <w:t>fait l’objet</w:t>
      </w:r>
      <w:r w:rsidR="00DB3851">
        <w:rPr>
          <w:color w:val="002060"/>
        </w:rPr>
        <w:t xml:space="preserve"> </w:t>
      </w:r>
      <w:r w:rsidR="00DE4510">
        <w:rPr>
          <w:color w:val="002060"/>
        </w:rPr>
        <w:t xml:space="preserve">d’un </w:t>
      </w:r>
      <w:r w:rsidR="00DB3851">
        <w:rPr>
          <w:color w:val="002060"/>
        </w:rPr>
        <w:t xml:space="preserve">suivi a minima </w:t>
      </w:r>
      <w:r w:rsidR="00DE4510">
        <w:rPr>
          <w:color w:val="002060"/>
        </w:rPr>
        <w:t>annuel</w:t>
      </w:r>
      <w:r w:rsidR="005E77DB">
        <w:rPr>
          <w:color w:val="002060"/>
        </w:rPr>
        <w:t>.</w:t>
      </w:r>
    </w:p>
    <w:p w14:paraId="72C7EE04" w14:textId="77777777" w:rsidR="00802198" w:rsidRDefault="00802198" w:rsidP="00A81A1A">
      <w:pPr>
        <w:spacing w:after="120" w:line="240" w:lineRule="auto"/>
      </w:pPr>
    </w:p>
    <w:p w14:paraId="4E626A62" w14:textId="4B4F68E6" w:rsidR="00854940" w:rsidRDefault="0003376B" w:rsidP="00A81A1A">
      <w:pPr>
        <w:spacing w:after="120" w:line="240" w:lineRule="auto"/>
      </w:pPr>
      <w:r w:rsidRPr="0003376B">
        <w:rPr>
          <w:b/>
          <w:bCs/>
        </w:rPr>
        <w:t>4.3 Transparence sur la résilience de la stratégie d'investissement de l'organisation</w:t>
      </w:r>
    </w:p>
    <w:p w14:paraId="215F6FC4" w14:textId="363B2500" w:rsidR="0003376B" w:rsidRDefault="0003376B" w:rsidP="00A81A1A">
      <w:pPr>
        <w:spacing w:after="120" w:line="240" w:lineRule="auto"/>
      </w:pPr>
      <w:r w:rsidRPr="0003376B">
        <w:t>4.3.1 Conclusions tirées de l'évaluation des risques &amp; opportunités (Pilier II)</w:t>
      </w:r>
    </w:p>
    <w:p w14:paraId="0FE8F654" w14:textId="5034BF10" w:rsidR="0012435A" w:rsidRDefault="00FE2B51" w:rsidP="0012435A">
      <w:pPr>
        <w:spacing w:after="120" w:line="240" w:lineRule="auto"/>
        <w:jc w:val="both"/>
        <w:rPr>
          <w:color w:val="002060"/>
        </w:rPr>
      </w:pPr>
      <w:r w:rsidRPr="0012435A">
        <w:rPr>
          <w:color w:val="002060"/>
        </w:rPr>
        <w:t>Démarche de progrès continue pour</w:t>
      </w:r>
    </w:p>
    <w:p w14:paraId="389BB11F" w14:textId="77777777" w:rsidR="0012435A" w:rsidRDefault="00FE2B51" w:rsidP="0012435A">
      <w:pPr>
        <w:pStyle w:val="Paragraphedeliste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proofErr w:type="gramStart"/>
      <w:r w:rsidRPr="0012435A">
        <w:rPr>
          <w:color w:val="002060"/>
        </w:rPr>
        <w:t>la</w:t>
      </w:r>
      <w:proofErr w:type="gramEnd"/>
      <w:r w:rsidRPr="0012435A">
        <w:rPr>
          <w:color w:val="002060"/>
        </w:rPr>
        <w:t xml:space="preserve"> société de gestion</w:t>
      </w:r>
      <w:r w:rsidR="0012435A">
        <w:rPr>
          <w:color w:val="002060"/>
        </w:rPr>
        <w:t xml:space="preserve"> : </w:t>
      </w:r>
      <w:r w:rsidR="00D74140" w:rsidRPr="0012435A">
        <w:rPr>
          <w:color w:val="002060"/>
        </w:rPr>
        <w:t xml:space="preserve">Engagements </w:t>
      </w:r>
      <w:r w:rsidRPr="0012435A">
        <w:rPr>
          <w:color w:val="002060"/>
        </w:rPr>
        <w:t>ESG</w:t>
      </w:r>
      <w:r w:rsidR="00D74140" w:rsidRPr="0012435A">
        <w:rPr>
          <w:color w:val="002060"/>
        </w:rPr>
        <w:t xml:space="preserve"> et Climat</w:t>
      </w:r>
      <w:r w:rsidRPr="0012435A">
        <w:rPr>
          <w:color w:val="002060"/>
        </w:rPr>
        <w:t xml:space="preserve">, </w:t>
      </w:r>
      <w:r w:rsidR="0012435A" w:rsidRPr="0012435A">
        <w:rPr>
          <w:color w:val="002060"/>
        </w:rPr>
        <w:t>Politique</w:t>
      </w:r>
      <w:r w:rsidR="00D74140" w:rsidRPr="0012435A">
        <w:rPr>
          <w:color w:val="002060"/>
        </w:rPr>
        <w:t xml:space="preserve"> ESG et Climat</w:t>
      </w:r>
      <w:r w:rsidR="0012435A" w:rsidRPr="0012435A">
        <w:rPr>
          <w:color w:val="002060"/>
        </w:rPr>
        <w:t>,</w:t>
      </w:r>
      <w:r w:rsidR="00D74140" w:rsidRPr="0012435A">
        <w:rPr>
          <w:color w:val="002060"/>
        </w:rPr>
        <w:t xml:space="preserve"> </w:t>
      </w:r>
      <w:r w:rsidR="0012435A" w:rsidRPr="0012435A">
        <w:rPr>
          <w:color w:val="002060"/>
        </w:rPr>
        <w:t>P</w:t>
      </w:r>
      <w:r w:rsidRPr="0012435A">
        <w:rPr>
          <w:color w:val="002060"/>
        </w:rPr>
        <w:t>roduits développés</w:t>
      </w:r>
      <w:r w:rsidR="00D74140" w:rsidRPr="0012435A">
        <w:rPr>
          <w:color w:val="002060"/>
        </w:rPr>
        <w:t xml:space="preserve">, </w:t>
      </w:r>
      <w:r w:rsidR="0012435A" w:rsidRPr="0012435A">
        <w:rPr>
          <w:color w:val="002060"/>
        </w:rPr>
        <w:t>E</w:t>
      </w:r>
      <w:r w:rsidR="00D74140" w:rsidRPr="0012435A">
        <w:rPr>
          <w:color w:val="002060"/>
        </w:rPr>
        <w:t>volution du modèle de gouvernance pour la gestion des enjeux ESG et Climat</w:t>
      </w:r>
      <w:r w:rsidR="0012435A" w:rsidRPr="0012435A">
        <w:rPr>
          <w:color w:val="002060"/>
        </w:rPr>
        <w:t>, Renforcement des moyens opérationnels et stratégiques dédiés à l’ESG et au Climat</w:t>
      </w:r>
      <w:r w:rsidR="0012435A">
        <w:rPr>
          <w:color w:val="002060"/>
        </w:rPr>
        <w:t xml:space="preserve"> ; </w:t>
      </w:r>
    </w:p>
    <w:p w14:paraId="3449E2A2" w14:textId="4D2D60E1" w:rsidR="00EA08DD" w:rsidRPr="00B621E9" w:rsidRDefault="00FE2B51" w:rsidP="00DD6202">
      <w:pPr>
        <w:pStyle w:val="Paragraphedeliste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color w:val="002060"/>
        </w:rPr>
      </w:pPr>
      <w:proofErr w:type="gramStart"/>
      <w:r w:rsidRPr="0012435A">
        <w:rPr>
          <w:color w:val="002060"/>
        </w:rPr>
        <w:t>les</w:t>
      </w:r>
      <w:proofErr w:type="gramEnd"/>
      <w:r w:rsidRPr="0012435A">
        <w:rPr>
          <w:color w:val="002060"/>
        </w:rPr>
        <w:t xml:space="preserve"> équipes de gestion</w:t>
      </w:r>
      <w:r w:rsidR="00EA08DD">
        <w:rPr>
          <w:color w:val="002060"/>
        </w:rPr>
        <w:t xml:space="preserve"> : Formation continue, Développement </w:t>
      </w:r>
      <w:r w:rsidR="00B621E9">
        <w:rPr>
          <w:color w:val="002060"/>
        </w:rPr>
        <w:t xml:space="preserve">d’outils, de réseaux, d’expertises et </w:t>
      </w:r>
      <w:r w:rsidR="00EA08DD">
        <w:rPr>
          <w:color w:val="002060"/>
        </w:rPr>
        <w:t>de savoir-faire ESG et Climat spécifiques</w:t>
      </w:r>
      <w:r w:rsidR="00B621E9">
        <w:rPr>
          <w:color w:val="002060"/>
        </w:rPr>
        <w:t>.</w:t>
      </w:r>
    </w:p>
    <w:p w14:paraId="6AD99586" w14:textId="3026A113" w:rsidR="0003376B" w:rsidRPr="00DD6202" w:rsidRDefault="00DD6202" w:rsidP="00A81A1A">
      <w:pPr>
        <w:spacing w:after="120" w:line="240" w:lineRule="auto"/>
        <w:rPr>
          <w:color w:val="002060"/>
        </w:rPr>
      </w:pPr>
      <w:r>
        <w:rPr>
          <w:color w:val="002060"/>
        </w:rPr>
        <w:t>La stratégie ESG et Climat du Groupe Siparex est en renforcement permanent depuis 2017 tant sur le plan des engagements, des moyens humains et techniques et des savoir-faire.</w:t>
      </w:r>
    </w:p>
    <w:p w14:paraId="77B5098A" w14:textId="77777777" w:rsidR="00DD6202" w:rsidRDefault="00DD6202" w:rsidP="00A81A1A">
      <w:pPr>
        <w:spacing w:after="120" w:line="240" w:lineRule="auto"/>
      </w:pPr>
    </w:p>
    <w:p w14:paraId="2D4294A5" w14:textId="546AF5AC" w:rsidR="0003376B" w:rsidRDefault="00676963" w:rsidP="00A81A1A">
      <w:pPr>
        <w:spacing w:after="120" w:line="240" w:lineRule="auto"/>
      </w:pPr>
      <w:r w:rsidRPr="00676963">
        <w:t>4.3.2 Intégration des résultats de l'évaluation des risques (Pilier II) et de l'analyse d'alignement (Pilier III)</w:t>
      </w:r>
    </w:p>
    <w:p w14:paraId="24ED9125" w14:textId="3FDE3F06" w:rsidR="00676963" w:rsidRPr="00F94087" w:rsidRDefault="00F94087" w:rsidP="00F94087">
      <w:pPr>
        <w:pStyle w:val="Paragraphedeliste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</w:pPr>
      <w:r>
        <w:rPr>
          <w:color w:val="002060"/>
        </w:rPr>
        <w:t xml:space="preserve">Exclusions </w:t>
      </w:r>
      <w:r w:rsidR="0089347E">
        <w:rPr>
          <w:color w:val="002060"/>
        </w:rPr>
        <w:t>des activités liées au charbon</w:t>
      </w:r>
      <w:r w:rsidR="005344EA">
        <w:rPr>
          <w:color w:val="002060"/>
        </w:rPr>
        <w:t>.</w:t>
      </w:r>
    </w:p>
    <w:p w14:paraId="1D8F5257" w14:textId="36B0EFEB" w:rsidR="00F94087" w:rsidRDefault="009A230C" w:rsidP="00F94087">
      <w:pPr>
        <w:pStyle w:val="Paragraphedeliste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Renforcement de la politique RSE du Groupe Siparex avec l’i</w:t>
      </w:r>
      <w:r w:rsidR="00F94087">
        <w:rPr>
          <w:color w:val="002060"/>
        </w:rPr>
        <w:t xml:space="preserve">nclusion de la décarbonation dans </w:t>
      </w:r>
      <w:r w:rsidR="00BA73C6">
        <w:rPr>
          <w:color w:val="002060"/>
        </w:rPr>
        <w:t>s</w:t>
      </w:r>
      <w:r w:rsidR="00F94087">
        <w:rPr>
          <w:color w:val="002060"/>
        </w:rPr>
        <w:t>es priorités d’impact</w:t>
      </w:r>
      <w:r w:rsidR="005344EA">
        <w:rPr>
          <w:color w:val="002060"/>
        </w:rPr>
        <w:t>.</w:t>
      </w:r>
    </w:p>
    <w:p w14:paraId="349AC222" w14:textId="3CF0D407" w:rsidR="00BA73C6" w:rsidRDefault="00BA73C6" w:rsidP="00F94087">
      <w:pPr>
        <w:pStyle w:val="Paragraphedeliste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Développement de nouveaux véhicules innovants à impacts positifs sur le Climat</w:t>
      </w:r>
      <w:r w:rsidR="005344EA">
        <w:rPr>
          <w:color w:val="002060"/>
        </w:rPr>
        <w:t>.</w:t>
      </w:r>
    </w:p>
    <w:p w14:paraId="77E66B43" w14:textId="7E02D938" w:rsidR="00BA73C6" w:rsidRDefault="0089347E" w:rsidP="00F94087">
      <w:pPr>
        <w:pStyle w:val="Paragraphedeliste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Formation des collaborateurs aux enjeux du changement climatique et de la mise en œuvre d’une stratégie de décarbonation</w:t>
      </w:r>
      <w:r w:rsidR="005344EA">
        <w:rPr>
          <w:color w:val="002060"/>
        </w:rPr>
        <w:t>.</w:t>
      </w:r>
    </w:p>
    <w:p w14:paraId="6E19AF03" w14:textId="4E5440E3" w:rsidR="005344EA" w:rsidRDefault="005344EA" w:rsidP="00F94087">
      <w:pPr>
        <w:pStyle w:val="Paragraphedeliste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Renforcement des moyens humains et techniques dédiés à la lutte contre le changement climatique.</w:t>
      </w:r>
    </w:p>
    <w:p w14:paraId="428C2148" w14:textId="114A34EF" w:rsidR="0089347E" w:rsidRPr="00F94087" w:rsidRDefault="0089347E" w:rsidP="00F94087">
      <w:pPr>
        <w:pStyle w:val="Paragraphedeliste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Inclusion d’objectifs Climat dans les bonus de surperformance</w:t>
      </w:r>
      <w:r w:rsidR="005344EA">
        <w:rPr>
          <w:color w:val="002060"/>
        </w:rPr>
        <w:t>.</w:t>
      </w:r>
    </w:p>
    <w:p w14:paraId="353ACA00" w14:textId="77777777" w:rsidR="00F94087" w:rsidRDefault="00F94087" w:rsidP="00F94087">
      <w:pPr>
        <w:spacing w:after="120" w:line="240" w:lineRule="auto"/>
        <w:jc w:val="both"/>
        <w:rPr>
          <w:color w:val="002060"/>
        </w:rPr>
      </w:pPr>
    </w:p>
    <w:p w14:paraId="5A365D14" w14:textId="285AEEB0" w:rsidR="00676963" w:rsidRPr="00676963" w:rsidRDefault="00676963" w:rsidP="00A81A1A">
      <w:pPr>
        <w:spacing w:after="120" w:line="240" w:lineRule="auto"/>
        <w:rPr>
          <w:b/>
          <w:bCs/>
        </w:rPr>
      </w:pPr>
      <w:r w:rsidRPr="00676963">
        <w:rPr>
          <w:b/>
          <w:bCs/>
        </w:rPr>
        <w:t>5. Intégration du climat dans l'investissement</w:t>
      </w:r>
    </w:p>
    <w:p w14:paraId="7FE1FD4D" w14:textId="77777777" w:rsidR="00F2299D" w:rsidRDefault="00F2299D" w:rsidP="00F2299D">
      <w:pPr>
        <w:spacing w:after="120" w:line="240" w:lineRule="auto"/>
      </w:pPr>
      <w:r>
        <w:t>5.1 Place du climat dans l'ESG</w:t>
      </w:r>
    </w:p>
    <w:p w14:paraId="1BBF61F2" w14:textId="77777777" w:rsidR="00F2299D" w:rsidRDefault="00F2299D" w:rsidP="00F2299D">
      <w:pPr>
        <w:spacing w:after="120" w:line="240" w:lineRule="auto"/>
      </w:pPr>
      <w:r>
        <w:t>5.1.1 Climat dans l'analyse extra-financière (ESG-C)</w:t>
      </w:r>
    </w:p>
    <w:p w14:paraId="181D34D8" w14:textId="5A68B7A2" w:rsidR="00F2299D" w:rsidRDefault="00F2299D" w:rsidP="00F2299D">
      <w:pPr>
        <w:spacing w:after="120" w:line="240" w:lineRule="auto"/>
        <w:jc w:val="both"/>
        <w:rPr>
          <w:color w:val="002060"/>
        </w:rPr>
      </w:pPr>
      <w:r w:rsidRPr="00F2299D">
        <w:rPr>
          <w:color w:val="002060"/>
        </w:rPr>
        <w:t xml:space="preserve">Diagnostic ESG et Climat à l’investissement et suivi </w:t>
      </w:r>
      <w:r>
        <w:rPr>
          <w:color w:val="002060"/>
        </w:rPr>
        <w:t xml:space="preserve">annuel </w:t>
      </w:r>
      <w:r w:rsidRPr="00F2299D">
        <w:rPr>
          <w:color w:val="002060"/>
        </w:rPr>
        <w:t>de la performance ESG au moyen de questionnaires ESG, non spécifique au Climat.</w:t>
      </w:r>
    </w:p>
    <w:p w14:paraId="3680E879" w14:textId="77777777" w:rsidR="007A0563" w:rsidRPr="00F2299D" w:rsidRDefault="007A0563" w:rsidP="00F2299D">
      <w:pPr>
        <w:spacing w:after="120" w:line="240" w:lineRule="auto"/>
        <w:jc w:val="both"/>
        <w:rPr>
          <w:color w:val="002060"/>
        </w:rPr>
      </w:pPr>
    </w:p>
    <w:p w14:paraId="3380F13A" w14:textId="77777777" w:rsidR="00F2299D" w:rsidRDefault="00F2299D" w:rsidP="00F2299D">
      <w:pPr>
        <w:spacing w:after="120" w:line="240" w:lineRule="auto"/>
      </w:pPr>
      <w:r>
        <w:t>5.1.2 Climat dans le processus de sélection des émetteurs (ESG-C)</w:t>
      </w:r>
    </w:p>
    <w:p w14:paraId="0E99968E" w14:textId="7FF92CA4" w:rsidR="00F2299D" w:rsidRPr="007A0563" w:rsidRDefault="007A0563" w:rsidP="007A0563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Le Climat est </w:t>
      </w:r>
      <w:r w:rsidR="008257CF">
        <w:rPr>
          <w:color w:val="002060"/>
        </w:rPr>
        <w:t xml:space="preserve">une dimension à part entière </w:t>
      </w:r>
      <w:r w:rsidR="009313CA">
        <w:rPr>
          <w:color w:val="002060"/>
        </w:rPr>
        <w:t xml:space="preserve">du diagnostic ESG et Climat. </w:t>
      </w:r>
      <w:r w:rsidR="0081772E">
        <w:rPr>
          <w:color w:val="002060"/>
        </w:rPr>
        <w:t xml:space="preserve">Au cas par cas, une opportunité d’investissement pourra </w:t>
      </w:r>
      <w:r w:rsidR="0046791C">
        <w:rPr>
          <w:color w:val="002060"/>
        </w:rPr>
        <w:t xml:space="preserve">être déclinée du fait des conclusions </w:t>
      </w:r>
      <w:r w:rsidR="00B555ED">
        <w:rPr>
          <w:color w:val="002060"/>
        </w:rPr>
        <w:t>du diagnostic ESG et Climat.</w:t>
      </w:r>
    </w:p>
    <w:p w14:paraId="4748BD9D" w14:textId="77777777" w:rsidR="00F2299D" w:rsidRDefault="00F2299D" w:rsidP="00A81A1A">
      <w:pPr>
        <w:spacing w:after="120" w:line="240" w:lineRule="auto"/>
      </w:pPr>
    </w:p>
    <w:p w14:paraId="1EB9D59A" w14:textId="77777777" w:rsidR="00537325" w:rsidRDefault="00537325">
      <w:r>
        <w:br w:type="page"/>
      </w:r>
    </w:p>
    <w:p w14:paraId="27CBA9BA" w14:textId="79A3DF48" w:rsidR="0003376B" w:rsidRDefault="008E1506" w:rsidP="00A81A1A">
      <w:pPr>
        <w:spacing w:after="120" w:line="240" w:lineRule="auto"/>
      </w:pPr>
      <w:r w:rsidRPr="008E1506">
        <w:lastRenderedPageBreak/>
        <w:t>5.2 Gestion déléguée</w:t>
      </w:r>
    </w:p>
    <w:p w14:paraId="29EFD72B" w14:textId="4B4648D9" w:rsidR="008E1506" w:rsidRDefault="008E1506" w:rsidP="00A81A1A">
      <w:pPr>
        <w:spacing w:after="120" w:line="240" w:lineRule="auto"/>
      </w:pPr>
      <w:r w:rsidRPr="008E1506">
        <w:t>5.2.1 Cadre du mandat</w:t>
      </w:r>
    </w:p>
    <w:p w14:paraId="742B69B2" w14:textId="69866B9E" w:rsidR="008E1506" w:rsidRDefault="004337E3" w:rsidP="0034039F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Non applicable : Près de 9</w:t>
      </w:r>
      <w:r w:rsidR="00B34918">
        <w:rPr>
          <w:color w:val="002060"/>
        </w:rPr>
        <w:t>0</w:t>
      </w:r>
      <w:r>
        <w:rPr>
          <w:color w:val="002060"/>
        </w:rPr>
        <w:t xml:space="preserve">% des actifs gérés par le Groupe Siparex sont gérés </w:t>
      </w:r>
      <w:r w:rsidR="00B34918">
        <w:rPr>
          <w:color w:val="002060"/>
        </w:rPr>
        <w:t xml:space="preserve">hors cadre </w:t>
      </w:r>
      <w:r w:rsidR="00B018A4">
        <w:rPr>
          <w:color w:val="002060"/>
        </w:rPr>
        <w:t>d’un mandat.</w:t>
      </w:r>
    </w:p>
    <w:p w14:paraId="1F149882" w14:textId="77777777" w:rsidR="008E1506" w:rsidRDefault="008E1506" w:rsidP="00A81A1A">
      <w:pPr>
        <w:spacing w:after="120" w:line="240" w:lineRule="auto"/>
      </w:pPr>
    </w:p>
    <w:p w14:paraId="1D9124F8" w14:textId="316183AD" w:rsidR="008E1506" w:rsidRDefault="00BE754F" w:rsidP="00A81A1A">
      <w:pPr>
        <w:spacing w:after="120" w:line="240" w:lineRule="auto"/>
      </w:pPr>
      <w:r w:rsidRPr="00BE754F">
        <w:rPr>
          <w:b/>
          <w:bCs/>
        </w:rPr>
        <w:t>6. Pratiques d'engagement actionnarial liées au climat</w:t>
      </w:r>
    </w:p>
    <w:p w14:paraId="390204F5" w14:textId="10B07FD2" w:rsidR="00BE754F" w:rsidRDefault="00BE754F" w:rsidP="00A81A1A">
      <w:pPr>
        <w:spacing w:after="120" w:line="240" w:lineRule="auto"/>
      </w:pPr>
      <w:r w:rsidRPr="00BE754F">
        <w:t>6.1 Exercice des droits de vote</w:t>
      </w:r>
    </w:p>
    <w:p w14:paraId="409C9938" w14:textId="14F96837" w:rsidR="00541132" w:rsidRDefault="00541132" w:rsidP="00A81A1A">
      <w:pPr>
        <w:spacing w:after="120" w:line="240" w:lineRule="auto"/>
      </w:pPr>
      <w:r w:rsidRPr="00541132">
        <w:t>6.1.1 Climat dans la politique de vote</w:t>
      </w:r>
    </w:p>
    <w:p w14:paraId="4CA695E4" w14:textId="77777777" w:rsidR="00AE5B1C" w:rsidRDefault="006032D4" w:rsidP="00A81A1A">
      <w:pPr>
        <w:spacing w:after="120" w:line="240" w:lineRule="auto"/>
        <w:rPr>
          <w:color w:val="002060"/>
        </w:rPr>
      </w:pPr>
      <w:r>
        <w:rPr>
          <w:color w:val="002060"/>
        </w:rPr>
        <w:t>La politique de vote du Groupe Siparex est disponible sur son site web (</w:t>
      </w:r>
      <w:hyperlink r:id="rId10" w:history="1">
        <w:r w:rsidR="00AE5B1C" w:rsidRPr="009D18BD">
          <w:rPr>
            <w:rStyle w:val="Lienhypertexte"/>
          </w:rPr>
          <w:t>www.siparex.com/wp-content/uploads/2019/09/SIPAREX-Proc%C3%A9dure-politique-de-vote.pdf</w:t>
        </w:r>
      </w:hyperlink>
      <w:r w:rsidR="00AE5B1C">
        <w:rPr>
          <w:color w:val="002060"/>
        </w:rPr>
        <w:t>).</w:t>
      </w:r>
    </w:p>
    <w:p w14:paraId="173DADA9" w14:textId="01D9E820" w:rsidR="00BE754F" w:rsidRDefault="00EE456E" w:rsidP="00A81A1A">
      <w:pPr>
        <w:spacing w:after="120" w:line="240" w:lineRule="auto"/>
        <w:rPr>
          <w:color w:val="002060"/>
        </w:rPr>
      </w:pPr>
      <w:r>
        <w:rPr>
          <w:color w:val="002060"/>
        </w:rPr>
        <w:t xml:space="preserve">Conformément à </w:t>
      </w:r>
      <w:r w:rsidR="009B7B5C">
        <w:rPr>
          <w:color w:val="002060"/>
        </w:rPr>
        <w:t>sa politique ESG, S</w:t>
      </w:r>
      <w:r>
        <w:rPr>
          <w:color w:val="002060"/>
        </w:rPr>
        <w:t xml:space="preserve">iparex s’engage à promouvoir </w:t>
      </w:r>
      <w:r w:rsidR="009B7B5C">
        <w:rPr>
          <w:color w:val="002060"/>
        </w:rPr>
        <w:t>les meilleures pratiques en matière de lutte contre le changement climatique</w:t>
      </w:r>
      <w:r w:rsidR="0058108B">
        <w:rPr>
          <w:color w:val="002060"/>
        </w:rPr>
        <w:t>.</w:t>
      </w:r>
    </w:p>
    <w:p w14:paraId="343BD768" w14:textId="77777777" w:rsidR="00BE754F" w:rsidRDefault="00BE754F" w:rsidP="00A81A1A">
      <w:pPr>
        <w:spacing w:after="120" w:line="240" w:lineRule="auto"/>
      </w:pPr>
    </w:p>
    <w:p w14:paraId="31CC086E" w14:textId="5733D8DF" w:rsidR="00BE754F" w:rsidRDefault="00541132" w:rsidP="00A81A1A">
      <w:pPr>
        <w:spacing w:after="120" w:line="240" w:lineRule="auto"/>
      </w:pPr>
      <w:r w:rsidRPr="00541132">
        <w:t>6.1.2 Bilan des votes liés au climat</w:t>
      </w:r>
    </w:p>
    <w:p w14:paraId="2B10A5CB" w14:textId="269C1E53" w:rsidR="00541132" w:rsidRDefault="008C324A" w:rsidP="005B7361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Progression du nombre </w:t>
      </w:r>
      <w:r w:rsidR="005B7361">
        <w:rPr>
          <w:color w:val="002060"/>
        </w:rPr>
        <w:t xml:space="preserve">d’entreprises ayant réalisé un </w:t>
      </w:r>
      <w:r>
        <w:rPr>
          <w:color w:val="002060"/>
        </w:rPr>
        <w:t xml:space="preserve">bilan carbone </w:t>
      </w:r>
      <w:r w:rsidR="005002FF">
        <w:rPr>
          <w:color w:val="002060"/>
        </w:rPr>
        <w:t xml:space="preserve">et / ou s’engageant à réduire l’intensité carbone de son activité </w:t>
      </w:r>
      <w:r w:rsidR="005B7361">
        <w:rPr>
          <w:color w:val="002060"/>
        </w:rPr>
        <w:t xml:space="preserve">au sein des </w:t>
      </w:r>
      <w:r>
        <w:rPr>
          <w:color w:val="002060"/>
        </w:rPr>
        <w:t>portefeuille</w:t>
      </w:r>
      <w:r w:rsidR="005B7361">
        <w:rPr>
          <w:color w:val="002060"/>
        </w:rPr>
        <w:t>s gérés par le Groupe</w:t>
      </w:r>
      <w:r w:rsidR="005002FF">
        <w:rPr>
          <w:color w:val="002060"/>
        </w:rPr>
        <w:t xml:space="preserve">. </w:t>
      </w:r>
    </w:p>
    <w:p w14:paraId="38B528B9" w14:textId="77777777" w:rsidR="00541132" w:rsidRDefault="00541132" w:rsidP="00A81A1A">
      <w:pPr>
        <w:spacing w:after="120" w:line="240" w:lineRule="auto"/>
      </w:pPr>
    </w:p>
    <w:p w14:paraId="07B44D93" w14:textId="27D88705" w:rsidR="00541132" w:rsidRDefault="00541132" w:rsidP="00A81A1A">
      <w:pPr>
        <w:spacing w:after="120" w:line="240" w:lineRule="auto"/>
      </w:pPr>
      <w:r w:rsidRPr="00541132">
        <w:t>6.2 Engagement auprès des émetteurs</w:t>
      </w:r>
    </w:p>
    <w:p w14:paraId="4F434C2E" w14:textId="0714982A" w:rsidR="00541132" w:rsidRDefault="00541132" w:rsidP="00A81A1A">
      <w:pPr>
        <w:spacing w:after="120" w:line="240" w:lineRule="auto"/>
      </w:pPr>
      <w:r w:rsidRPr="00541132">
        <w:t>6.2.1 Climat dans les démarches d'engagement actionnarial</w:t>
      </w:r>
    </w:p>
    <w:p w14:paraId="3C125416" w14:textId="77777777" w:rsidR="00D826F2" w:rsidRDefault="00C87972" w:rsidP="00D826F2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C</w:t>
      </w:r>
      <w:r w:rsidR="00E8188B" w:rsidRPr="00E8188B">
        <w:rPr>
          <w:color w:val="002060"/>
        </w:rPr>
        <w:t>ontrib</w:t>
      </w:r>
      <w:r>
        <w:rPr>
          <w:color w:val="002060"/>
        </w:rPr>
        <w:t xml:space="preserve">ution </w:t>
      </w:r>
      <w:r w:rsidR="00D826F2">
        <w:rPr>
          <w:color w:val="002060"/>
        </w:rPr>
        <w:t xml:space="preserve">systématique au sein des portefeuilles sous gestion </w:t>
      </w:r>
      <w:r w:rsidR="00E8188B" w:rsidRPr="00E8188B">
        <w:rPr>
          <w:color w:val="002060"/>
        </w:rPr>
        <w:t xml:space="preserve">à faire progresser nos participations dans leur démarche ESG </w:t>
      </w:r>
      <w:r w:rsidR="00D826F2">
        <w:rPr>
          <w:color w:val="002060"/>
        </w:rPr>
        <w:t xml:space="preserve">et Climat </w:t>
      </w:r>
      <w:r w:rsidR="00E8188B" w:rsidRPr="00E8188B">
        <w:rPr>
          <w:color w:val="002060"/>
        </w:rPr>
        <w:t xml:space="preserve">tout au long de notre accompagnement : </w:t>
      </w:r>
    </w:p>
    <w:p w14:paraId="6CAEE64D" w14:textId="58277FCD" w:rsidR="00B673EE" w:rsidRDefault="00B673EE" w:rsidP="00D826F2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Analyse de la double matérialité à l’investissement dans le cadre du d</w:t>
      </w:r>
      <w:r w:rsidR="001A359A">
        <w:rPr>
          <w:color w:val="002060"/>
        </w:rPr>
        <w:t>iagnostic ESG et Climat ;</w:t>
      </w:r>
    </w:p>
    <w:p w14:paraId="15666019" w14:textId="5858B3CD" w:rsidR="00D826F2" w:rsidRDefault="00D826F2" w:rsidP="00D826F2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jc w:val="both"/>
        <w:rPr>
          <w:color w:val="002060"/>
        </w:rPr>
      </w:pPr>
      <w:r w:rsidRPr="00D826F2">
        <w:rPr>
          <w:color w:val="002060"/>
        </w:rPr>
        <w:t>Plan d’actions ESG et Climat</w:t>
      </w:r>
      <w:r>
        <w:rPr>
          <w:color w:val="002060"/>
        </w:rPr>
        <w:t xml:space="preserve"> dans la foulée de l’investissement appuyé sur </w:t>
      </w:r>
      <w:r w:rsidR="001A359A">
        <w:rPr>
          <w:color w:val="002060"/>
        </w:rPr>
        <w:t xml:space="preserve">le </w:t>
      </w:r>
      <w:r>
        <w:rPr>
          <w:color w:val="002060"/>
        </w:rPr>
        <w:t>diagnostic d’expert ;</w:t>
      </w:r>
    </w:p>
    <w:p w14:paraId="5B78004C" w14:textId="311544CD" w:rsidR="001A359A" w:rsidRDefault="001A359A" w:rsidP="00D826F2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Suivi annuel de la démarche de progrès et des performances extra-financières ;</w:t>
      </w:r>
    </w:p>
    <w:p w14:paraId="232365E9" w14:textId="0DDA0208" w:rsidR="001A359A" w:rsidRDefault="001A359A" w:rsidP="00D826F2">
      <w:pPr>
        <w:pStyle w:val="Paragraphedeliste"/>
        <w:numPr>
          <w:ilvl w:val="0"/>
          <w:numId w:val="14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Mise à disposition de moyens opérationnels et stratégiques.</w:t>
      </w:r>
    </w:p>
    <w:p w14:paraId="337D7E6A" w14:textId="77777777" w:rsidR="001A359A" w:rsidRDefault="001A359A" w:rsidP="00D826F2">
      <w:pPr>
        <w:spacing w:after="120" w:line="240" w:lineRule="auto"/>
        <w:jc w:val="both"/>
      </w:pPr>
    </w:p>
    <w:p w14:paraId="70C17DF6" w14:textId="52CA3C70" w:rsidR="00541132" w:rsidRDefault="007D14EC" w:rsidP="00D826F2">
      <w:pPr>
        <w:spacing w:after="120" w:line="240" w:lineRule="auto"/>
        <w:jc w:val="both"/>
      </w:pPr>
      <w:r w:rsidRPr="007D14EC">
        <w:t>6.2.2 Suivi des pratiques d'engagement</w:t>
      </w:r>
    </w:p>
    <w:p w14:paraId="57CB0D6D" w14:textId="7CA64C8E" w:rsidR="007D14EC" w:rsidRDefault="007B58A3" w:rsidP="00A81A1A">
      <w:pPr>
        <w:spacing w:after="120" w:line="240" w:lineRule="auto"/>
        <w:rPr>
          <w:color w:val="002060"/>
        </w:rPr>
      </w:pPr>
      <w:r>
        <w:rPr>
          <w:color w:val="002060"/>
        </w:rPr>
        <w:t>Cf. rapport annuel ESG Groupe disponible sur le site web de Siparex (</w:t>
      </w:r>
      <w:hyperlink r:id="rId11" w:history="1">
        <w:r w:rsidR="007D0C6D" w:rsidRPr="00543BB3">
          <w:rPr>
            <w:rStyle w:val="Lienhypertexte"/>
          </w:rPr>
          <w:t>https://www.siparex.com/wp-content/uploads/2022/07/180852_SIPAREX_RAPPORT-ESG_2021.pdf</w:t>
        </w:r>
      </w:hyperlink>
      <w:r w:rsidR="007D0C6D">
        <w:rPr>
          <w:color w:val="002060"/>
        </w:rPr>
        <w:t>)</w:t>
      </w:r>
    </w:p>
    <w:p w14:paraId="6F0617C7" w14:textId="5246CAA7" w:rsidR="007D14EC" w:rsidRDefault="007D14EC" w:rsidP="00A81A1A">
      <w:pPr>
        <w:spacing w:after="120" w:line="240" w:lineRule="auto"/>
      </w:pPr>
      <w:r w:rsidRPr="007D14EC">
        <w:rPr>
          <w:b/>
          <w:bCs/>
        </w:rPr>
        <w:t>7. Développement d'une expertise interne</w:t>
      </w:r>
    </w:p>
    <w:p w14:paraId="2C51AA73" w14:textId="66FE48F5" w:rsidR="007D14EC" w:rsidRDefault="00D919EA" w:rsidP="00A81A1A">
      <w:pPr>
        <w:spacing w:after="120" w:line="240" w:lineRule="auto"/>
      </w:pPr>
      <w:r w:rsidRPr="00D919EA">
        <w:t>7.1 Compétence et formation des équipes et des administrateurs</w:t>
      </w:r>
    </w:p>
    <w:p w14:paraId="2D7BCD2B" w14:textId="60DABF4E" w:rsidR="00D919EA" w:rsidRDefault="00D919EA" w:rsidP="00A81A1A">
      <w:pPr>
        <w:spacing w:after="120" w:line="240" w:lineRule="auto"/>
      </w:pPr>
      <w:r w:rsidRPr="00D919EA">
        <w:t>7.1.1 Equipes formées</w:t>
      </w:r>
    </w:p>
    <w:p w14:paraId="7EE1AAEA" w14:textId="1FD7CA56" w:rsidR="00D919EA" w:rsidRDefault="006174D6" w:rsidP="00B040A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Programme de format</w:t>
      </w:r>
      <w:r w:rsidR="00B040AA">
        <w:rPr>
          <w:color w:val="002060"/>
        </w:rPr>
        <w:t>ion</w:t>
      </w:r>
      <w:r>
        <w:rPr>
          <w:color w:val="002060"/>
        </w:rPr>
        <w:t xml:space="preserve"> </w:t>
      </w:r>
      <w:r w:rsidR="00B040AA">
        <w:rPr>
          <w:color w:val="002060"/>
        </w:rPr>
        <w:t xml:space="preserve">de l’ensemble des collaborateurs du Groupe </w:t>
      </w:r>
      <w:r>
        <w:rPr>
          <w:color w:val="002060"/>
        </w:rPr>
        <w:t>au</w:t>
      </w:r>
      <w:r w:rsidR="00B040AA">
        <w:rPr>
          <w:color w:val="002060"/>
        </w:rPr>
        <w:t>x</w:t>
      </w:r>
      <w:r>
        <w:rPr>
          <w:color w:val="002060"/>
        </w:rPr>
        <w:t xml:space="preserve"> enjeux du changement climatique </w:t>
      </w:r>
      <w:r w:rsidR="00B040AA">
        <w:rPr>
          <w:color w:val="002060"/>
        </w:rPr>
        <w:t>(« Fresque du Climat »</w:t>
      </w:r>
      <w:r w:rsidR="00AF027D">
        <w:rPr>
          <w:color w:val="002060"/>
        </w:rPr>
        <w:t>, atelier de 3h</w:t>
      </w:r>
      <w:r w:rsidR="00B040AA">
        <w:rPr>
          <w:color w:val="002060"/>
        </w:rPr>
        <w:t>) prévu tout au long de l’année 2022</w:t>
      </w:r>
      <w:r w:rsidR="00AF027D">
        <w:rPr>
          <w:color w:val="002060"/>
        </w:rPr>
        <w:t xml:space="preserve"> et complété par des interventions d’experts </w:t>
      </w:r>
      <w:r w:rsidR="00EA441F">
        <w:rPr>
          <w:color w:val="002060"/>
        </w:rPr>
        <w:t>sur des thématiques clés du Climat.</w:t>
      </w:r>
    </w:p>
    <w:p w14:paraId="3266C2E0" w14:textId="77777777" w:rsidR="00D919EA" w:rsidRDefault="00D919EA" w:rsidP="00B040AA">
      <w:pPr>
        <w:spacing w:after="120" w:line="240" w:lineRule="auto"/>
        <w:jc w:val="both"/>
      </w:pPr>
    </w:p>
    <w:p w14:paraId="083C15F5" w14:textId="77777777" w:rsidR="00537325" w:rsidRDefault="00537325">
      <w:r>
        <w:br w:type="page"/>
      </w:r>
    </w:p>
    <w:p w14:paraId="2353A7FD" w14:textId="5A4445F1" w:rsidR="00D919EA" w:rsidRDefault="00D919EA" w:rsidP="00A81A1A">
      <w:pPr>
        <w:spacing w:after="120" w:line="240" w:lineRule="auto"/>
      </w:pPr>
      <w:r w:rsidRPr="00D919EA">
        <w:lastRenderedPageBreak/>
        <w:t>7.1.2 Administrateurs</w:t>
      </w:r>
    </w:p>
    <w:p w14:paraId="68BE4C33" w14:textId="5D685A54" w:rsidR="00D919EA" w:rsidRPr="00AE2368" w:rsidRDefault="00AE2368" w:rsidP="00A81A1A">
      <w:pPr>
        <w:spacing w:after="120" w:line="240" w:lineRule="auto"/>
        <w:rPr>
          <w:color w:val="002060"/>
          <w:u w:val="single"/>
        </w:rPr>
      </w:pPr>
      <w:r w:rsidRPr="00AE2368">
        <w:rPr>
          <w:color w:val="002060"/>
          <w:u w:val="single"/>
        </w:rPr>
        <w:t>Société de gestion</w:t>
      </w:r>
    </w:p>
    <w:p w14:paraId="5913EC30" w14:textId="2A4CA57C" w:rsidR="008C11C2" w:rsidRDefault="00F51288" w:rsidP="000D185C">
      <w:pPr>
        <w:spacing w:after="360" w:line="240" w:lineRule="auto"/>
        <w:rPr>
          <w:color w:val="002060"/>
        </w:rPr>
      </w:pPr>
      <w:r>
        <w:rPr>
          <w:color w:val="002060"/>
        </w:rPr>
        <w:t xml:space="preserve">Présence d’experts indépendants </w:t>
      </w:r>
      <w:r w:rsidR="009F4CAF">
        <w:rPr>
          <w:color w:val="002060"/>
        </w:rPr>
        <w:t xml:space="preserve">au Conseil de Surveillance </w:t>
      </w:r>
      <w:r w:rsidR="008C11C2">
        <w:rPr>
          <w:color w:val="002060"/>
        </w:rPr>
        <w:t>de</w:t>
      </w:r>
      <w:r w:rsidR="009F4CAF">
        <w:rPr>
          <w:color w:val="002060"/>
        </w:rPr>
        <w:t xml:space="preserve"> Siparex sensibles aux enjeux du changement climatique et de la mise </w:t>
      </w:r>
      <w:r w:rsidR="008C11C2">
        <w:rPr>
          <w:color w:val="002060"/>
        </w:rPr>
        <w:t>en œuvre de la politique RSE du Groupe.</w:t>
      </w:r>
    </w:p>
    <w:p w14:paraId="6C9F665E" w14:textId="79D0C419" w:rsidR="00F1361D" w:rsidRPr="00AE2368" w:rsidRDefault="00F1361D" w:rsidP="00A81A1A">
      <w:pPr>
        <w:spacing w:after="120" w:line="240" w:lineRule="auto"/>
        <w:rPr>
          <w:color w:val="002060"/>
        </w:rPr>
      </w:pPr>
      <w:r>
        <w:rPr>
          <w:color w:val="002060"/>
          <w:u w:val="single"/>
        </w:rPr>
        <w:t>Entreprises en portefeuilles</w:t>
      </w:r>
    </w:p>
    <w:p w14:paraId="2B2E57BB" w14:textId="2CB1E614" w:rsidR="00AE2368" w:rsidRDefault="00F1361D" w:rsidP="00D4035E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Au cas par cas et aussi </w:t>
      </w:r>
      <w:r w:rsidR="00EB1687">
        <w:rPr>
          <w:color w:val="002060"/>
        </w:rPr>
        <w:t>fréquemment</w:t>
      </w:r>
      <w:r>
        <w:rPr>
          <w:color w:val="002060"/>
        </w:rPr>
        <w:t xml:space="preserve"> que possible,</w:t>
      </w:r>
      <w:r w:rsidR="00C17406">
        <w:rPr>
          <w:color w:val="002060"/>
        </w:rPr>
        <w:t xml:space="preserve"> </w:t>
      </w:r>
      <w:r w:rsidR="002960B5">
        <w:rPr>
          <w:color w:val="002060"/>
        </w:rPr>
        <w:t xml:space="preserve">recrutement d’administrateurs </w:t>
      </w:r>
      <w:r w:rsidR="00D4035E">
        <w:rPr>
          <w:color w:val="002060"/>
        </w:rPr>
        <w:t>indépendants experts sinon sensibles aux enjeux du changement climatique et de la mise en œuvre d’une stratégie de décarbonation.</w:t>
      </w:r>
    </w:p>
    <w:p w14:paraId="3BF780F9" w14:textId="77777777" w:rsidR="00F1361D" w:rsidRPr="00AE2368" w:rsidRDefault="00F1361D" w:rsidP="00A81A1A">
      <w:pPr>
        <w:spacing w:after="120" w:line="240" w:lineRule="auto"/>
        <w:rPr>
          <w:color w:val="002060"/>
        </w:rPr>
      </w:pPr>
    </w:p>
    <w:p w14:paraId="66A52661" w14:textId="1549F7C1" w:rsidR="00D919EA" w:rsidRDefault="00D919EA" w:rsidP="00A81A1A">
      <w:pPr>
        <w:spacing w:after="120" w:line="240" w:lineRule="auto"/>
      </w:pPr>
      <w:r w:rsidRPr="00D919EA">
        <w:t>7.2 Efforts déployés</w:t>
      </w:r>
    </w:p>
    <w:p w14:paraId="458E9EE5" w14:textId="4679C34E" w:rsidR="00D919EA" w:rsidRDefault="00375735" w:rsidP="00A81A1A">
      <w:pPr>
        <w:spacing w:after="120" w:line="240" w:lineRule="auto"/>
      </w:pPr>
      <w:r w:rsidRPr="00375735">
        <w:t>7.2.1. Ressources techniques</w:t>
      </w:r>
    </w:p>
    <w:p w14:paraId="132846AB" w14:textId="084D2725" w:rsidR="00375735" w:rsidRDefault="00EB65B9" w:rsidP="00A90FB0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Procédure et outil de diagnostic ESG et Climat à l’investissement</w:t>
      </w:r>
    </w:p>
    <w:p w14:paraId="2B2604F2" w14:textId="49632C25" w:rsidR="00EB65B9" w:rsidRDefault="00EB65B9" w:rsidP="00A90FB0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Réseaux de conseils experts </w:t>
      </w:r>
      <w:r w:rsidR="00971C2D">
        <w:rPr>
          <w:color w:val="002060"/>
        </w:rPr>
        <w:t xml:space="preserve">des </w:t>
      </w:r>
      <w:r>
        <w:rPr>
          <w:color w:val="002060"/>
        </w:rPr>
        <w:t>analyse</w:t>
      </w:r>
      <w:r w:rsidR="00971C2D">
        <w:rPr>
          <w:color w:val="002060"/>
        </w:rPr>
        <w:t>s</w:t>
      </w:r>
      <w:r>
        <w:rPr>
          <w:color w:val="002060"/>
        </w:rPr>
        <w:t xml:space="preserve"> </w:t>
      </w:r>
      <w:r w:rsidR="00971C2D">
        <w:rPr>
          <w:color w:val="002060"/>
        </w:rPr>
        <w:t>ESG et Climat</w:t>
      </w:r>
    </w:p>
    <w:p w14:paraId="56011A1F" w14:textId="458C1002" w:rsidR="00971C2D" w:rsidRDefault="00971C2D" w:rsidP="00A90FB0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Plateforme SaaS de suivi de la performance ESG </w:t>
      </w:r>
      <w:r w:rsidR="00A90FB0">
        <w:rPr>
          <w:color w:val="002060"/>
        </w:rPr>
        <w:t xml:space="preserve">et </w:t>
      </w:r>
      <w:r w:rsidR="00A90FB0" w:rsidRPr="00A90FB0">
        <w:rPr>
          <w:color w:val="002060"/>
        </w:rPr>
        <w:t>de l’empreinte carbone scope 1 et 2</w:t>
      </w:r>
      <w:r w:rsidR="00A90FB0">
        <w:rPr>
          <w:color w:val="002060"/>
        </w:rPr>
        <w:t xml:space="preserve"> </w:t>
      </w:r>
      <w:r>
        <w:rPr>
          <w:color w:val="002060"/>
        </w:rPr>
        <w:t>des entreprises en portefeuilles</w:t>
      </w:r>
      <w:r w:rsidR="00A90FB0">
        <w:rPr>
          <w:color w:val="002060"/>
        </w:rPr>
        <w:t xml:space="preserve"> </w:t>
      </w:r>
    </w:p>
    <w:p w14:paraId="239AF50D" w14:textId="27DA5062" w:rsidR="00A90FB0" w:rsidRPr="00F726AF" w:rsidRDefault="00A90FB0" w:rsidP="00F726AF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 w:rsidRPr="00A90FB0">
        <w:rPr>
          <w:color w:val="002060"/>
        </w:rPr>
        <w:t xml:space="preserve">Programme de conseil et d’accompagnement à tarif négocié à l’attention des entreprises en portefeuilles du Groupe pour la réalisation d’un bilan carbone et la définition d’une stratégie de réduction des émissions de GES (« 90 Days Carbon </w:t>
      </w:r>
      <w:proofErr w:type="spellStart"/>
      <w:r w:rsidRPr="00A90FB0">
        <w:rPr>
          <w:color w:val="002060"/>
        </w:rPr>
        <w:t>Footprint</w:t>
      </w:r>
      <w:proofErr w:type="spellEnd"/>
      <w:r w:rsidRPr="00A90FB0">
        <w:rPr>
          <w:color w:val="002060"/>
        </w:rPr>
        <w:t xml:space="preserve"> Program »).</w:t>
      </w:r>
    </w:p>
    <w:p w14:paraId="5236ABF9" w14:textId="77777777" w:rsidR="00D4035E" w:rsidRDefault="00D4035E" w:rsidP="00A81A1A">
      <w:pPr>
        <w:spacing w:after="120" w:line="240" w:lineRule="auto"/>
        <w:rPr>
          <w:color w:val="002060"/>
        </w:rPr>
      </w:pPr>
    </w:p>
    <w:p w14:paraId="4D1F4322" w14:textId="65583A8E" w:rsidR="00375735" w:rsidRDefault="00375735" w:rsidP="00A81A1A">
      <w:pPr>
        <w:spacing w:after="120" w:line="240" w:lineRule="auto"/>
      </w:pPr>
      <w:r w:rsidRPr="00375735">
        <w:t>7.2.2 Ressources humaines</w:t>
      </w:r>
    </w:p>
    <w:p w14:paraId="0830D99F" w14:textId="1404E30D" w:rsidR="00F726AF" w:rsidRPr="00F726AF" w:rsidRDefault="00F726AF" w:rsidP="00F726AF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 w:rsidRPr="00F726AF">
        <w:rPr>
          <w:color w:val="002060"/>
        </w:rPr>
        <w:t xml:space="preserve">Chief Operating </w:t>
      </w:r>
      <w:proofErr w:type="spellStart"/>
      <w:r w:rsidRPr="00F726AF">
        <w:rPr>
          <w:color w:val="002060"/>
        </w:rPr>
        <w:t>Officer</w:t>
      </w:r>
      <w:proofErr w:type="spellEnd"/>
      <w:r w:rsidRPr="00F726AF">
        <w:rPr>
          <w:color w:val="002060"/>
        </w:rPr>
        <w:t xml:space="preserve"> responsable vis-à-vis du</w:t>
      </w:r>
      <w:r>
        <w:rPr>
          <w:color w:val="002060"/>
        </w:rPr>
        <w:t xml:space="preserve"> Comité Exécutif de la mise en œuvre de la stratégie ESG du Groupe</w:t>
      </w:r>
    </w:p>
    <w:p w14:paraId="1E2BD9D6" w14:textId="34CBC4A8" w:rsidR="00456976" w:rsidRPr="00456976" w:rsidRDefault="00F726AF" w:rsidP="00456976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>Equipe ESG de 3 personnes (à temps partagé) animé par un ESG Manager</w:t>
      </w:r>
    </w:p>
    <w:p w14:paraId="4A0F7F8B" w14:textId="246051B9" w:rsidR="00F726AF" w:rsidRDefault="00B72BA9" w:rsidP="00F726AF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 w:rsidRPr="00A74027">
        <w:rPr>
          <w:color w:val="002060"/>
        </w:rPr>
        <w:t xml:space="preserve">Operating Team de 7 professionnels dont </w:t>
      </w:r>
      <w:r w:rsidR="00A74027" w:rsidRPr="00A74027">
        <w:rPr>
          <w:color w:val="002060"/>
        </w:rPr>
        <w:t>4 mobi</w:t>
      </w:r>
      <w:r w:rsidR="00A74027">
        <w:rPr>
          <w:color w:val="002060"/>
        </w:rPr>
        <w:t>lisés sur l’accompagnement opérationnel des entreprises des portefeuilles sur leur plan d’actions ESG et Climat</w:t>
      </w:r>
    </w:p>
    <w:p w14:paraId="729998CD" w14:textId="6CA867EB" w:rsidR="00A74027" w:rsidRPr="00A74027" w:rsidRDefault="007F5584" w:rsidP="00F726AF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Près de </w:t>
      </w:r>
      <w:r w:rsidR="00B336EC">
        <w:rPr>
          <w:color w:val="002060"/>
        </w:rPr>
        <w:t>60 professionnels de l’investissement</w:t>
      </w:r>
      <w:r>
        <w:rPr>
          <w:color w:val="002060"/>
        </w:rPr>
        <w:t xml:space="preserve"> </w:t>
      </w:r>
    </w:p>
    <w:p w14:paraId="70F79BB4" w14:textId="77777777" w:rsidR="00F726AF" w:rsidRPr="00A74027" w:rsidRDefault="00F726AF" w:rsidP="00F726AF">
      <w:pPr>
        <w:spacing w:after="120" w:line="240" w:lineRule="auto"/>
        <w:jc w:val="both"/>
        <w:rPr>
          <w:color w:val="002060"/>
        </w:rPr>
      </w:pPr>
    </w:p>
    <w:p w14:paraId="429B4798" w14:textId="2634300A" w:rsidR="00375735" w:rsidRDefault="00375735" w:rsidP="00A81A1A">
      <w:pPr>
        <w:spacing w:after="120" w:line="240" w:lineRule="auto"/>
      </w:pPr>
      <w:r w:rsidRPr="00375735">
        <w:t>7.2.3 Ressources financières</w:t>
      </w:r>
    </w:p>
    <w:p w14:paraId="0959EB08" w14:textId="1D54B0FB" w:rsidR="007D7449" w:rsidRPr="007D7449" w:rsidRDefault="007D7449" w:rsidP="007D7449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Dépenses </w:t>
      </w:r>
      <w:r w:rsidR="00475F80">
        <w:rPr>
          <w:color w:val="002060"/>
        </w:rPr>
        <w:t>hors salaires des ressources humaines listées ci-dessus :</w:t>
      </w:r>
    </w:p>
    <w:p w14:paraId="66E97925" w14:textId="139E3C6D" w:rsidR="00375735" w:rsidRPr="00FD70DF" w:rsidRDefault="00460C98" w:rsidP="00F57F27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</w:pPr>
      <w:r w:rsidRPr="00FD70DF">
        <w:rPr>
          <w:color w:val="002060"/>
        </w:rPr>
        <w:t>Dépenses annuelles</w:t>
      </w:r>
      <w:r w:rsidR="00903D99" w:rsidRPr="00FD70DF">
        <w:rPr>
          <w:color w:val="002060"/>
        </w:rPr>
        <w:t xml:space="preserve"> </w:t>
      </w:r>
      <w:r w:rsidR="007C1553" w:rsidRPr="00FD70DF">
        <w:rPr>
          <w:color w:val="002060"/>
        </w:rPr>
        <w:t xml:space="preserve">de l’ordre de </w:t>
      </w:r>
      <w:r w:rsidRPr="00FD70DF">
        <w:rPr>
          <w:color w:val="002060"/>
        </w:rPr>
        <w:t>2</w:t>
      </w:r>
      <w:r w:rsidR="009F1168" w:rsidRPr="00FD70DF">
        <w:rPr>
          <w:color w:val="002060"/>
        </w:rPr>
        <w:t>5</w:t>
      </w:r>
      <w:r w:rsidRPr="00FD70DF">
        <w:rPr>
          <w:color w:val="002060"/>
        </w:rPr>
        <w:t>0</w:t>
      </w:r>
      <w:r w:rsidR="007C1553" w:rsidRPr="00FD70DF">
        <w:rPr>
          <w:color w:val="002060"/>
        </w:rPr>
        <w:t xml:space="preserve"> k€ par an </w:t>
      </w:r>
      <w:r w:rsidR="009F1168" w:rsidRPr="00FD70DF">
        <w:rPr>
          <w:color w:val="002060"/>
        </w:rPr>
        <w:t>pour la conduite des diagnostics ESG et Climat</w:t>
      </w:r>
      <w:r w:rsidR="002E402B" w:rsidRPr="00FD70DF">
        <w:rPr>
          <w:color w:val="002060"/>
        </w:rPr>
        <w:t xml:space="preserve"> </w:t>
      </w:r>
      <w:r w:rsidR="00C16086" w:rsidRPr="00FD70DF">
        <w:rPr>
          <w:color w:val="002060"/>
        </w:rPr>
        <w:t>lors des invest</w:t>
      </w:r>
      <w:r w:rsidR="008E5268" w:rsidRPr="00FD70DF">
        <w:rPr>
          <w:color w:val="002060"/>
        </w:rPr>
        <w:t>issements</w:t>
      </w:r>
      <w:r w:rsidR="00FD70DF">
        <w:rPr>
          <w:color w:val="002060"/>
        </w:rPr>
        <w:t>.</w:t>
      </w:r>
    </w:p>
    <w:p w14:paraId="68D0440A" w14:textId="19EF23A6" w:rsidR="00FD70DF" w:rsidRPr="00FD70DF" w:rsidRDefault="00FD70DF" w:rsidP="00F57F27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</w:pPr>
      <w:r>
        <w:rPr>
          <w:color w:val="002060"/>
        </w:rPr>
        <w:t>Dépenses annuelles de l’ordre de 1</w:t>
      </w:r>
      <w:r w:rsidRPr="008E5268">
        <w:rPr>
          <w:color w:val="002060"/>
        </w:rPr>
        <w:t>50 k€</w:t>
      </w:r>
      <w:r>
        <w:rPr>
          <w:color w:val="002060"/>
        </w:rPr>
        <w:t xml:space="preserve"> par an pour le suivi de la performance ESG et l’évaluation de l’empreinte carbone scope 1 et 2.</w:t>
      </w:r>
    </w:p>
    <w:p w14:paraId="0423008E" w14:textId="77777777" w:rsidR="00FD70DF" w:rsidRDefault="00FD70DF" w:rsidP="00FD70DF">
      <w:pPr>
        <w:spacing w:after="120" w:line="240" w:lineRule="auto"/>
        <w:jc w:val="both"/>
      </w:pPr>
    </w:p>
    <w:p w14:paraId="5E56CD92" w14:textId="060812D9" w:rsidR="000449D4" w:rsidRDefault="000449D4" w:rsidP="00A81A1A">
      <w:pPr>
        <w:spacing w:after="120" w:line="240" w:lineRule="auto"/>
      </w:pPr>
      <w:r w:rsidRPr="000449D4">
        <w:t>7.3 Plans de développement</w:t>
      </w:r>
    </w:p>
    <w:p w14:paraId="0F4F6FBB" w14:textId="02C28663" w:rsidR="000449D4" w:rsidRDefault="000449D4" w:rsidP="00A81A1A">
      <w:pPr>
        <w:spacing w:after="120" w:line="240" w:lineRule="auto"/>
      </w:pPr>
      <w:r w:rsidRPr="000449D4">
        <w:t>7.3.1 Compétences en développement</w:t>
      </w:r>
    </w:p>
    <w:p w14:paraId="3655C549" w14:textId="77777777" w:rsidR="004136AF" w:rsidRDefault="004136AF" w:rsidP="004136AF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Sensibilisation aux enjeux du changement climatique </w:t>
      </w:r>
    </w:p>
    <w:p w14:paraId="37332C67" w14:textId="4896977F" w:rsidR="000449D4" w:rsidRDefault="004136AF" w:rsidP="004136AF">
      <w:pPr>
        <w:pStyle w:val="Paragraphedeliste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color w:val="002060"/>
        </w:rPr>
      </w:pPr>
      <w:r>
        <w:rPr>
          <w:color w:val="002060"/>
        </w:rPr>
        <w:t xml:space="preserve">Formation au bilan carbone et à la définition d’une </w:t>
      </w:r>
      <w:r w:rsidR="00F2029A">
        <w:rPr>
          <w:color w:val="002060"/>
        </w:rPr>
        <w:t>stratégie décarbonation</w:t>
      </w:r>
    </w:p>
    <w:p w14:paraId="413B3CB7" w14:textId="77777777" w:rsidR="000449D4" w:rsidRDefault="000449D4" w:rsidP="00A81A1A">
      <w:pPr>
        <w:spacing w:after="120" w:line="240" w:lineRule="auto"/>
      </w:pPr>
    </w:p>
    <w:p w14:paraId="498E5936" w14:textId="1FDB6EC7" w:rsidR="000449D4" w:rsidRDefault="000449D4" w:rsidP="00A81A1A">
      <w:pPr>
        <w:spacing w:after="120" w:line="240" w:lineRule="auto"/>
      </w:pPr>
      <w:r w:rsidRPr="000449D4">
        <w:t>7.3.2 Renforcement des capacités internes</w:t>
      </w:r>
    </w:p>
    <w:p w14:paraId="5EA90772" w14:textId="735ABA57" w:rsidR="000449D4" w:rsidRDefault="004136AF" w:rsidP="00A81A1A">
      <w:pPr>
        <w:spacing w:after="120" w:line="240" w:lineRule="auto"/>
        <w:rPr>
          <w:color w:val="002060"/>
        </w:rPr>
      </w:pPr>
      <w:r w:rsidRPr="004136AF">
        <w:rPr>
          <w:color w:val="002060"/>
        </w:rPr>
        <w:t>Recrutement d’une ressource dédiée à la mise en œuvre de la stratégie Climat du Groupe Siparex au sein de l’Equipe ESG</w:t>
      </w:r>
    </w:p>
    <w:p w14:paraId="0308EAED" w14:textId="77777777" w:rsidR="00AF6F24" w:rsidRDefault="00AF6F24" w:rsidP="00A81A1A">
      <w:pPr>
        <w:spacing w:after="120" w:line="240" w:lineRule="auto"/>
      </w:pPr>
    </w:p>
    <w:p w14:paraId="602CB165" w14:textId="77777777" w:rsidR="00AF6F24" w:rsidRDefault="00AF6F24" w:rsidP="00A81A1A">
      <w:pPr>
        <w:spacing w:after="120" w:line="240" w:lineRule="auto"/>
      </w:pPr>
    </w:p>
    <w:p w14:paraId="2F68D632" w14:textId="39743F8F" w:rsidR="00AF6F24" w:rsidRDefault="00BF77B1" w:rsidP="00A81A1A">
      <w:pPr>
        <w:spacing w:after="120" w:line="240" w:lineRule="auto"/>
        <w:rPr>
          <w:b/>
          <w:bCs/>
          <w:sz w:val="24"/>
          <w:szCs w:val="24"/>
        </w:rPr>
      </w:pPr>
      <w:r w:rsidRPr="00BF77B1">
        <w:rPr>
          <w:b/>
          <w:bCs/>
          <w:sz w:val="24"/>
          <w:szCs w:val="24"/>
        </w:rPr>
        <w:t>Pilier II | Incidences sur les investissements</w:t>
      </w:r>
      <w:r>
        <w:rPr>
          <w:b/>
          <w:bCs/>
          <w:sz w:val="24"/>
          <w:szCs w:val="24"/>
        </w:rPr>
        <w:t xml:space="preserve"> : </w:t>
      </w:r>
      <w:r w:rsidRPr="00BF77B1">
        <w:rPr>
          <w:b/>
          <w:bCs/>
          <w:sz w:val="24"/>
          <w:szCs w:val="24"/>
        </w:rPr>
        <w:t>Analyse des risques &amp; des opportunités climatiques</w:t>
      </w:r>
    </w:p>
    <w:p w14:paraId="7C789E7C" w14:textId="390B6EEF" w:rsidR="00BF77B1" w:rsidRDefault="004E35C3" w:rsidP="00A81A1A">
      <w:pPr>
        <w:spacing w:after="120" w:line="240" w:lineRule="auto"/>
        <w:rPr>
          <w:b/>
          <w:bCs/>
        </w:rPr>
      </w:pPr>
      <w:r w:rsidRPr="004E35C3">
        <w:rPr>
          <w:b/>
          <w:bCs/>
        </w:rPr>
        <w:t>1. Identification</w:t>
      </w:r>
    </w:p>
    <w:p w14:paraId="7D70F745" w14:textId="23928FA1" w:rsidR="004E35C3" w:rsidRDefault="004E35C3" w:rsidP="00A81A1A">
      <w:pPr>
        <w:spacing w:after="120" w:line="240" w:lineRule="auto"/>
      </w:pPr>
      <w:r w:rsidRPr="004E35C3">
        <w:t>1.1. Risques &amp; opportunités identifiés</w:t>
      </w:r>
    </w:p>
    <w:p w14:paraId="5045947A" w14:textId="03A288C2" w:rsidR="00241B21" w:rsidRDefault="002C0738" w:rsidP="003D6464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Siparex se base sur les travaux de l’Initiative Climat International dont </w:t>
      </w:r>
      <w:r w:rsidR="003D6464">
        <w:rPr>
          <w:color w:val="002060"/>
        </w:rPr>
        <w:t>il</w:t>
      </w:r>
      <w:r>
        <w:rPr>
          <w:color w:val="002060"/>
        </w:rPr>
        <w:t xml:space="preserve"> est signataire et </w:t>
      </w:r>
      <w:r w:rsidR="003D6464">
        <w:rPr>
          <w:color w:val="002060"/>
        </w:rPr>
        <w:t>membre actif.</w:t>
      </w: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724"/>
        <w:gridCol w:w="1019"/>
        <w:gridCol w:w="1414"/>
        <w:gridCol w:w="1417"/>
        <w:gridCol w:w="1361"/>
      </w:tblGrid>
      <w:tr w:rsidR="0008216A" w:rsidRPr="0028799B" w14:paraId="61E7D721" w14:textId="77777777" w:rsidTr="006E12D6">
        <w:trPr>
          <w:trHeight w:val="794"/>
        </w:trPr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6CD3CE80" w14:textId="21FD2331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Risque</w:t>
            </w:r>
            <w:r w:rsidR="006E12D6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</w:t>
            </w: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 / Opportunité</w:t>
            </w:r>
            <w:r w:rsidR="006E12D6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</w:t>
            </w: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 identifié</w:t>
            </w:r>
            <w:r w:rsidR="006E12D6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272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14A60169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Description et caractérisation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3F90C4D4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Périmètre associé</w:t>
            </w:r>
          </w:p>
        </w:tc>
        <w:tc>
          <w:tcPr>
            <w:tcW w:w="14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2FDBCEE2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Description des canaux de transmission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1E9C9416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Horizon de matérialisation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  <w:hideMark/>
          </w:tcPr>
          <w:p w14:paraId="77E9DD9D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Indicateur utilisé </w:t>
            </w:r>
            <w:r w:rsidRPr="00467684">
              <w:rPr>
                <w:rFonts w:ascii="Baloo Thambi 2" w:eastAsia="Times New Roman" w:hAnsi="Baloo Thambi 2" w:cs="Arial"/>
                <w:b/>
                <w:bCs/>
                <w:color w:val="FFFFFF" w:themeColor="background1"/>
                <w:sz w:val="16"/>
                <w:szCs w:val="16"/>
                <w:lang w:eastAsia="fr-FR"/>
              </w:rPr>
              <w:br/>
              <w:t>(le cas échéant)</w:t>
            </w:r>
          </w:p>
        </w:tc>
      </w:tr>
      <w:tr w:rsidR="0008216A" w:rsidRPr="00467684" w14:paraId="436DFA7D" w14:textId="77777777" w:rsidTr="00CF3039">
        <w:trPr>
          <w:trHeight w:val="1247"/>
        </w:trPr>
        <w:tc>
          <w:tcPr>
            <w:tcW w:w="141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634FA03" w14:textId="6F549179" w:rsidR="00467684" w:rsidRPr="00467684" w:rsidRDefault="006E12D6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</w:t>
            </w:r>
            <w:r w:rsidR="00467684"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èglementaires </w:t>
            </w:r>
            <w:r w:rsidR="00467684"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br/>
              <w:t>et juridiques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9680395" w14:textId="0C21B2B2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Risques </w:t>
            </w:r>
            <w:r w:rsidR="006E12D6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et opportunités 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liés à un changement politique ou </w:t>
            </w:r>
            <w:r w:rsidR="00CF303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règlementaire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+ Risques </w:t>
            </w:r>
            <w:r w:rsidR="00CF303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et opportunités 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liés à une hausse des plaintes et litiges en lien avec le changement climatique.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65E3155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69791A7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13427FB" w14:textId="77777777" w:rsidR="0008216A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Court et </w:t>
            </w:r>
          </w:p>
          <w:p w14:paraId="4FBB6C3D" w14:textId="39E71598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gram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moyen</w:t>
            </w:r>
            <w:proofErr w:type="gramEnd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terme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4343F51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</w:tr>
      <w:tr w:rsidR="0008216A" w:rsidRPr="00467684" w14:paraId="763AB14F" w14:textId="77777777" w:rsidTr="00CF3039">
        <w:trPr>
          <w:trHeight w:val="907"/>
        </w:trPr>
        <w:tc>
          <w:tcPr>
            <w:tcW w:w="141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6D2F751C" w14:textId="17777C8B" w:rsidR="00467684" w:rsidRPr="00467684" w:rsidRDefault="006E12D6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P</w:t>
            </w:r>
            <w:r w:rsidR="00467684"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hysiques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0AC9BFF" w14:textId="6A3776BF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Risques </w:t>
            </w:r>
            <w:r w:rsidR="00CF303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et opportunités 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résultant des dommages directement causés par les phénomènes météorologiques et climatiques.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8E963FA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CAD153B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91A8BD9" w14:textId="77777777" w:rsidR="0008216A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Court et </w:t>
            </w:r>
          </w:p>
          <w:p w14:paraId="1714671B" w14:textId="78EEB820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gram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moyen</w:t>
            </w:r>
            <w:proofErr w:type="gramEnd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terme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04C4353A" w14:textId="1B0B037F" w:rsidR="00467684" w:rsidRPr="00467684" w:rsidRDefault="006E12D6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</w:t>
            </w:r>
            <w:r w:rsidR="00467684"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c</w:t>
            </w:r>
            <w:proofErr w:type="spellEnd"/>
          </w:p>
        </w:tc>
      </w:tr>
      <w:tr w:rsidR="0008216A" w:rsidRPr="00467684" w14:paraId="171FAF9E" w14:textId="77777777" w:rsidTr="00CF3039">
        <w:trPr>
          <w:trHeight w:val="737"/>
        </w:trPr>
        <w:tc>
          <w:tcPr>
            <w:tcW w:w="141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44B1093A" w14:textId="5728DC4C" w:rsidR="00467684" w:rsidRPr="00467684" w:rsidRDefault="006E12D6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D</w:t>
            </w:r>
            <w:r w:rsidR="00467684"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e transition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6BBD4B4" w14:textId="2C324EF2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Risques </w:t>
            </w:r>
            <w:r w:rsidR="00CF3039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et opportunités </w:t>
            </w: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résultant des effets de la mise en place d’un modèle économique bas-carbone.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EDBE709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553B48D1" w14:textId="77777777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nc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1DDD3543" w14:textId="77777777" w:rsidR="0008216A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Court et </w:t>
            </w:r>
          </w:p>
          <w:p w14:paraId="5E656034" w14:textId="0A73F726" w:rsidR="00467684" w:rsidRPr="00467684" w:rsidRDefault="00467684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gram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moyen</w:t>
            </w:r>
            <w:proofErr w:type="gramEnd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 xml:space="preserve"> terme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vAlign w:val="center"/>
            <w:hideMark/>
          </w:tcPr>
          <w:p w14:paraId="72288267" w14:textId="4979D278" w:rsidR="00467684" w:rsidRPr="00467684" w:rsidRDefault="006E12D6" w:rsidP="00467684">
            <w:pPr>
              <w:spacing w:after="0" w:line="240" w:lineRule="auto"/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</w:pPr>
            <w:proofErr w:type="spellStart"/>
            <w:r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N</w:t>
            </w:r>
            <w:r w:rsidR="00467684" w:rsidRPr="00467684">
              <w:rPr>
                <w:rFonts w:ascii="Baloo Thambi 2" w:eastAsia="Times New Roman" w:hAnsi="Baloo Thambi 2" w:cs="Arial"/>
                <w:color w:val="002060"/>
                <w:sz w:val="16"/>
                <w:szCs w:val="16"/>
                <w:lang w:eastAsia="fr-FR"/>
              </w:rPr>
              <w:t>c</w:t>
            </w:r>
            <w:proofErr w:type="spellEnd"/>
          </w:p>
        </w:tc>
      </w:tr>
    </w:tbl>
    <w:p w14:paraId="7CB7E5C9" w14:textId="77777777" w:rsidR="003D6464" w:rsidRDefault="003D6464" w:rsidP="003D6464">
      <w:pPr>
        <w:spacing w:after="120" w:line="240" w:lineRule="auto"/>
        <w:jc w:val="both"/>
      </w:pPr>
    </w:p>
    <w:p w14:paraId="436CADAD" w14:textId="0EFFAEF0" w:rsidR="004E35C3" w:rsidRDefault="00241B21" w:rsidP="00A81A1A">
      <w:pPr>
        <w:spacing w:after="120" w:line="240" w:lineRule="auto"/>
      </w:pPr>
      <w:r w:rsidRPr="00241B21">
        <w:t>1.1.3. Priorisation des risques identifiés</w:t>
      </w:r>
    </w:p>
    <w:p w14:paraId="442A3D5C" w14:textId="33CD23EA" w:rsidR="00241B21" w:rsidRDefault="005F511F" w:rsidP="00D84676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En fonction </w:t>
      </w:r>
      <w:r w:rsidR="00265268">
        <w:rPr>
          <w:color w:val="002060"/>
        </w:rPr>
        <w:t xml:space="preserve">i) </w:t>
      </w:r>
      <w:r>
        <w:rPr>
          <w:color w:val="002060"/>
        </w:rPr>
        <w:t xml:space="preserve">des conclusions </w:t>
      </w:r>
      <w:r w:rsidR="00D84676">
        <w:rPr>
          <w:color w:val="002060"/>
        </w:rPr>
        <w:t xml:space="preserve">de l’analyse de matérialité </w:t>
      </w:r>
      <w:r w:rsidR="00713BAD">
        <w:rPr>
          <w:color w:val="002060"/>
        </w:rPr>
        <w:t xml:space="preserve">des risques climatiques </w:t>
      </w:r>
      <w:r w:rsidR="00C66688">
        <w:rPr>
          <w:color w:val="002060"/>
        </w:rPr>
        <w:t xml:space="preserve">réalisée lors du </w:t>
      </w:r>
      <w:r>
        <w:rPr>
          <w:color w:val="002060"/>
        </w:rPr>
        <w:t xml:space="preserve">diagnostic ESG et Climat </w:t>
      </w:r>
      <w:r w:rsidR="00C66688">
        <w:rPr>
          <w:color w:val="002060"/>
        </w:rPr>
        <w:t>à l’investissement</w:t>
      </w:r>
      <w:r w:rsidR="00265268">
        <w:rPr>
          <w:color w:val="002060"/>
        </w:rPr>
        <w:t xml:space="preserve"> et ii) des analyses de matérialité des risques climatiques </w:t>
      </w:r>
      <w:r w:rsidR="0091795D">
        <w:rPr>
          <w:color w:val="002060"/>
        </w:rPr>
        <w:t>pour les entreprises en portefeuille</w:t>
      </w:r>
      <w:r>
        <w:rPr>
          <w:color w:val="002060"/>
        </w:rPr>
        <w:t>.</w:t>
      </w:r>
    </w:p>
    <w:p w14:paraId="2380D435" w14:textId="77777777" w:rsidR="00241B21" w:rsidRDefault="00241B21" w:rsidP="00A81A1A">
      <w:pPr>
        <w:spacing w:after="120" w:line="240" w:lineRule="auto"/>
      </w:pPr>
    </w:p>
    <w:p w14:paraId="13D50DF2" w14:textId="2DA2B6C9" w:rsidR="00241B21" w:rsidRDefault="00CD0017" w:rsidP="00A81A1A">
      <w:pPr>
        <w:spacing w:after="120" w:line="240" w:lineRule="auto"/>
      </w:pPr>
      <w:r w:rsidRPr="00CD0017">
        <w:t>1.2. Risques &amp; Opportunités analysés</w:t>
      </w:r>
    </w:p>
    <w:p w14:paraId="62A04E5B" w14:textId="60E4316B" w:rsidR="00CD0017" w:rsidRDefault="00CD0017" w:rsidP="005C6AE7">
      <w:pPr>
        <w:spacing w:after="120" w:line="240" w:lineRule="auto"/>
      </w:pPr>
      <w:r w:rsidRPr="00CD0017">
        <w:t>1.2.1. Tableau récapitulatif des méthodes et des résultats</w:t>
      </w:r>
    </w:p>
    <w:p w14:paraId="3190CE0F" w14:textId="5B95DD0D" w:rsidR="007F1151" w:rsidRDefault="007F1151" w:rsidP="002A5F1E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Diagnostic ESG et Climat à l’investissement réalisé par un conseil expert externe</w:t>
      </w:r>
    </w:p>
    <w:p w14:paraId="7DC2F7B8" w14:textId="17DA6CE8" w:rsidR="00211372" w:rsidRPr="00211372" w:rsidRDefault="00FE03F3" w:rsidP="002A5F1E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Matrice d’analyse de la matérialité </w:t>
      </w:r>
      <w:r w:rsidR="007A6D3B">
        <w:rPr>
          <w:color w:val="002060"/>
        </w:rPr>
        <w:t>des enjeux climatiques</w:t>
      </w:r>
      <w:r w:rsidR="00E34BE2">
        <w:rPr>
          <w:color w:val="002060"/>
        </w:rPr>
        <w:t xml:space="preserve"> pour les entreprises de nos portefeuilles</w:t>
      </w:r>
    </w:p>
    <w:p w14:paraId="1E736591" w14:textId="091F7BBB" w:rsidR="007F1151" w:rsidRDefault="007F1151" w:rsidP="002A5F1E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Volet Climat de la stratégie RSE des entreprises de nos portefeuilles</w:t>
      </w:r>
    </w:p>
    <w:p w14:paraId="3CBAD6AC" w14:textId="77777777" w:rsidR="00F55321" w:rsidRDefault="00F55321" w:rsidP="00F55321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Engagements Climat des entreprises de nos portefeuilles</w:t>
      </w:r>
    </w:p>
    <w:p w14:paraId="4E5E1BF2" w14:textId="0B62F4C6" w:rsidR="00F55321" w:rsidRPr="00211372" w:rsidRDefault="00F55321" w:rsidP="002A5F1E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Définition d’une trajectoire de réduction des émissions de GES (SBT de préférence)</w:t>
      </w:r>
    </w:p>
    <w:p w14:paraId="34CAEA9C" w14:textId="3BA653F7" w:rsidR="002A5F1E" w:rsidRPr="00211372" w:rsidRDefault="00211372" w:rsidP="002A5F1E">
      <w:pPr>
        <w:spacing w:after="120" w:line="240" w:lineRule="auto"/>
        <w:jc w:val="both"/>
        <w:rPr>
          <w:color w:val="002060"/>
          <w:u w:val="single"/>
        </w:rPr>
      </w:pPr>
      <w:r w:rsidRPr="00211372">
        <w:rPr>
          <w:color w:val="002060"/>
          <w:u w:val="single"/>
        </w:rPr>
        <w:t>Empreinte carbone</w:t>
      </w:r>
    </w:p>
    <w:p w14:paraId="7D8193B6" w14:textId="038DFDE1" w:rsidR="00CD0017" w:rsidRDefault="005C6AE7" w:rsidP="001B4EE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Emission</w:t>
      </w:r>
      <w:r w:rsidR="002D328F">
        <w:rPr>
          <w:color w:val="002060"/>
        </w:rPr>
        <w:t>s</w:t>
      </w:r>
      <w:r>
        <w:rPr>
          <w:color w:val="002060"/>
        </w:rPr>
        <w:t xml:space="preserve"> des GES en valeur absolue</w:t>
      </w:r>
    </w:p>
    <w:p w14:paraId="3FCCD6F1" w14:textId="72FDC617" w:rsidR="002D328F" w:rsidRDefault="002D328F" w:rsidP="001B4EE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Emissions de CO</w:t>
      </w:r>
      <w:r w:rsidRPr="002D328F">
        <w:rPr>
          <w:color w:val="002060"/>
          <w:vertAlign w:val="subscript"/>
        </w:rPr>
        <w:t>2</w:t>
      </w:r>
      <w:r>
        <w:rPr>
          <w:color w:val="002060"/>
        </w:rPr>
        <w:t xml:space="preserve"> directes </w:t>
      </w:r>
      <w:r w:rsidR="00A22ACB">
        <w:rPr>
          <w:color w:val="002060"/>
        </w:rPr>
        <w:t xml:space="preserve">et indirectes </w:t>
      </w:r>
      <w:r>
        <w:rPr>
          <w:color w:val="002060"/>
        </w:rPr>
        <w:t>(scope 1</w:t>
      </w:r>
      <w:r w:rsidR="00A22ACB">
        <w:rPr>
          <w:color w:val="002060"/>
        </w:rPr>
        <w:t>, 2 et 3</w:t>
      </w:r>
      <w:r>
        <w:rPr>
          <w:color w:val="002060"/>
        </w:rPr>
        <w:t>)</w:t>
      </w:r>
      <w:r w:rsidR="00265A11">
        <w:rPr>
          <w:color w:val="002060"/>
        </w:rPr>
        <w:t xml:space="preserve"> en valeur absolue</w:t>
      </w:r>
    </w:p>
    <w:p w14:paraId="738F96AF" w14:textId="40188878" w:rsidR="005C6AE7" w:rsidRDefault="00FE2F9C" w:rsidP="001B4EE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lastRenderedPageBreak/>
        <w:t>Intensité</w:t>
      </w:r>
      <w:r w:rsidR="002D328F">
        <w:rPr>
          <w:color w:val="002060"/>
        </w:rPr>
        <w:t xml:space="preserve"> carbone de </w:t>
      </w:r>
      <w:r w:rsidR="00FC5730">
        <w:rPr>
          <w:color w:val="002060"/>
        </w:rPr>
        <w:t>l’activité (scope 1 et 2)</w:t>
      </w:r>
    </w:p>
    <w:p w14:paraId="71D5CEC4" w14:textId="4A4A4E09" w:rsidR="00FC5730" w:rsidRDefault="00FC5730" w:rsidP="001B4EE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Bilan carbone </w:t>
      </w:r>
      <w:r w:rsidR="00E535F2">
        <w:rPr>
          <w:color w:val="002060"/>
        </w:rPr>
        <w:t>réalisé il y a moins de 4 ans</w:t>
      </w:r>
    </w:p>
    <w:p w14:paraId="3E4ADE77" w14:textId="0CCC1524" w:rsidR="00342AD7" w:rsidRPr="005C6AE7" w:rsidRDefault="00342AD7" w:rsidP="00342AD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Consommation</w:t>
      </w:r>
      <w:r w:rsidR="00B15729">
        <w:rPr>
          <w:color w:val="002060"/>
        </w:rPr>
        <w:t>s</w:t>
      </w:r>
      <w:r>
        <w:rPr>
          <w:color w:val="002060"/>
        </w:rPr>
        <w:t xml:space="preserve"> d’énergies</w:t>
      </w:r>
    </w:p>
    <w:p w14:paraId="6FBB262F" w14:textId="1DB80283" w:rsidR="00E535F2" w:rsidRDefault="00E535F2" w:rsidP="001B4EE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Définition d’une trajectoire de réduction des émissions de GES</w:t>
      </w:r>
      <w:r w:rsidR="006F504B">
        <w:rPr>
          <w:color w:val="002060"/>
        </w:rPr>
        <w:t xml:space="preserve"> (SBT </w:t>
      </w:r>
      <w:r w:rsidR="005436BC">
        <w:rPr>
          <w:color w:val="002060"/>
        </w:rPr>
        <w:t>de préférence</w:t>
      </w:r>
      <w:r w:rsidR="006F504B">
        <w:rPr>
          <w:color w:val="002060"/>
        </w:rPr>
        <w:t>)</w:t>
      </w:r>
    </w:p>
    <w:p w14:paraId="6F0CA96C" w14:textId="77777777" w:rsidR="00CD0017" w:rsidRDefault="00CD0017" w:rsidP="00A81A1A">
      <w:pPr>
        <w:spacing w:after="120" w:line="240" w:lineRule="auto"/>
      </w:pPr>
    </w:p>
    <w:p w14:paraId="5062E896" w14:textId="5E33AD6B" w:rsidR="00CD0017" w:rsidRDefault="00CD0017" w:rsidP="00A81A1A">
      <w:pPr>
        <w:spacing w:after="120" w:line="240" w:lineRule="auto"/>
      </w:pPr>
      <w:r w:rsidRPr="00CD0017">
        <w:t>1.2.2. Développement méthodologique</w:t>
      </w:r>
    </w:p>
    <w:p w14:paraId="51063B02" w14:textId="7E64698C" w:rsidR="00FB7E8F" w:rsidRPr="001A5C27" w:rsidRDefault="00680690" w:rsidP="001A5C27">
      <w:pPr>
        <w:spacing w:after="120" w:line="240" w:lineRule="auto"/>
        <w:jc w:val="both"/>
        <w:rPr>
          <w:color w:val="002060"/>
        </w:rPr>
      </w:pPr>
      <w:r w:rsidRPr="001A5C27">
        <w:rPr>
          <w:color w:val="002060"/>
        </w:rPr>
        <w:t xml:space="preserve">Renforcement </w:t>
      </w:r>
      <w:r w:rsidR="009213C7" w:rsidRPr="001A5C27">
        <w:rPr>
          <w:color w:val="002060"/>
        </w:rPr>
        <w:t>des méthodolo</w:t>
      </w:r>
      <w:r w:rsidR="00B304EF" w:rsidRPr="001A5C27">
        <w:rPr>
          <w:color w:val="002060"/>
        </w:rPr>
        <w:t>gies existantes</w:t>
      </w:r>
      <w:r w:rsidRPr="001A5C27">
        <w:rPr>
          <w:color w:val="002060"/>
        </w:rPr>
        <w:t xml:space="preserve"> </w:t>
      </w:r>
    </w:p>
    <w:p w14:paraId="44949DEC" w14:textId="77777777" w:rsidR="00CD0017" w:rsidRDefault="00CD0017" w:rsidP="00A81A1A">
      <w:pPr>
        <w:spacing w:after="120" w:line="240" w:lineRule="auto"/>
      </w:pPr>
    </w:p>
    <w:p w14:paraId="7A0B9474" w14:textId="7F601F39" w:rsidR="00CD0017" w:rsidRDefault="003837AB" w:rsidP="00A81A1A">
      <w:pPr>
        <w:spacing w:after="120" w:line="240" w:lineRule="auto"/>
      </w:pPr>
      <w:r w:rsidRPr="003837AB">
        <w:rPr>
          <w:b/>
          <w:bCs/>
        </w:rPr>
        <w:t xml:space="preserve">2. Explications propre à chaque risque / opportunité </w:t>
      </w:r>
      <w:proofErr w:type="spellStart"/>
      <w:proofErr w:type="gramStart"/>
      <w:r w:rsidRPr="003837AB">
        <w:rPr>
          <w:b/>
          <w:bCs/>
        </w:rPr>
        <w:t>analysé.e</w:t>
      </w:r>
      <w:proofErr w:type="spellEnd"/>
      <w:proofErr w:type="gramEnd"/>
    </w:p>
    <w:p w14:paraId="1F04D607" w14:textId="3EF86815" w:rsidR="003837AB" w:rsidRDefault="00773B28" w:rsidP="00A81A1A">
      <w:pPr>
        <w:spacing w:after="120" w:line="240" w:lineRule="auto"/>
      </w:pPr>
      <w:r w:rsidRPr="00773B28">
        <w:t>2.1. Méthodes et indicateurs</w:t>
      </w:r>
    </w:p>
    <w:p w14:paraId="4286ECC6" w14:textId="44592B5B" w:rsidR="0080590B" w:rsidRDefault="0080590B" w:rsidP="00A81A1A">
      <w:pPr>
        <w:spacing w:after="120" w:line="240" w:lineRule="auto"/>
      </w:pPr>
      <w:r w:rsidRPr="0080590B">
        <w:t>2.1.1. Méthode / outil utilisé</w:t>
      </w:r>
    </w:p>
    <w:p w14:paraId="343B6732" w14:textId="26F726CE" w:rsidR="00773B28" w:rsidRDefault="00A17E07" w:rsidP="00560A4A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Méthodologie recommandée par </w:t>
      </w:r>
      <w:r w:rsidR="00CE6A8B">
        <w:rPr>
          <w:color w:val="002060"/>
        </w:rPr>
        <w:t xml:space="preserve">l’Initiative Climat International </w:t>
      </w:r>
      <w:r w:rsidR="00560A4A">
        <w:rPr>
          <w:color w:val="002060"/>
        </w:rPr>
        <w:t xml:space="preserve">sur la base notamment des </w:t>
      </w:r>
      <w:r w:rsidR="00560A4A" w:rsidRPr="00560A4A">
        <w:rPr>
          <w:color w:val="002060"/>
        </w:rPr>
        <w:t>définitions des risques de la TCFD</w:t>
      </w:r>
      <w:r w:rsidR="00CE6A8B">
        <w:rPr>
          <w:color w:val="002060"/>
        </w:rPr>
        <w:t xml:space="preserve"> </w:t>
      </w:r>
    </w:p>
    <w:p w14:paraId="3C9D23A6" w14:textId="77777777" w:rsidR="00773B28" w:rsidRDefault="00773B28" w:rsidP="00A81A1A">
      <w:pPr>
        <w:spacing w:after="120" w:line="240" w:lineRule="auto"/>
      </w:pPr>
    </w:p>
    <w:p w14:paraId="02AC2105" w14:textId="1CB70F40" w:rsidR="00773B28" w:rsidRDefault="00D56576" w:rsidP="00A81A1A">
      <w:pPr>
        <w:spacing w:after="120" w:line="240" w:lineRule="auto"/>
      </w:pPr>
      <w:r w:rsidRPr="00D56576">
        <w:t>2.1.2. Cadre de comparaison / scénarios utilisés</w:t>
      </w:r>
    </w:p>
    <w:p w14:paraId="2EFE9C7E" w14:textId="6A8C7DF3" w:rsidR="0081208F" w:rsidRDefault="0081208F" w:rsidP="0081208F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Analyse de la matérialité des </w:t>
      </w:r>
      <w:r w:rsidR="00A86707">
        <w:rPr>
          <w:color w:val="002060"/>
        </w:rPr>
        <w:t>risques climatiques</w:t>
      </w:r>
    </w:p>
    <w:p w14:paraId="7215ED81" w14:textId="1E77441E" w:rsidR="00A86707" w:rsidRDefault="00A86707" w:rsidP="0081208F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Bilan carbone</w:t>
      </w:r>
      <w:r w:rsidR="004B392F">
        <w:rPr>
          <w:color w:val="002060"/>
        </w:rPr>
        <w:t xml:space="preserve"> scope 1, 2 et 3 sinon scope 1 et 2</w:t>
      </w:r>
    </w:p>
    <w:p w14:paraId="36E03189" w14:textId="5FC1FFEE" w:rsidR="004B392F" w:rsidRDefault="004B392F" w:rsidP="0081208F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Identification des principaux postes d’émission</w:t>
      </w:r>
    </w:p>
    <w:p w14:paraId="65DA5AF7" w14:textId="308432EA" w:rsidR="00D56576" w:rsidRDefault="000A0D0F" w:rsidP="00A8670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Trajectoires SBT / SB2A autant que possible</w:t>
      </w:r>
    </w:p>
    <w:p w14:paraId="7778354F" w14:textId="77777777" w:rsidR="00A86707" w:rsidRPr="00A86707" w:rsidRDefault="00A86707" w:rsidP="00A86707">
      <w:pPr>
        <w:spacing w:after="120" w:line="240" w:lineRule="auto"/>
        <w:jc w:val="both"/>
        <w:rPr>
          <w:color w:val="002060"/>
        </w:rPr>
      </w:pPr>
    </w:p>
    <w:p w14:paraId="424EA690" w14:textId="54020F54" w:rsidR="00D56576" w:rsidRDefault="00D56576" w:rsidP="00A81A1A">
      <w:pPr>
        <w:spacing w:after="120" w:line="240" w:lineRule="auto"/>
      </w:pPr>
      <w:r w:rsidRPr="00D56576">
        <w:t>2.1.3. Explication des choix</w:t>
      </w:r>
    </w:p>
    <w:p w14:paraId="4139492A" w14:textId="1ED4CE63" w:rsidR="00666BF9" w:rsidRDefault="00666BF9" w:rsidP="00666BF9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Conclusions de l’analyse de matérialité</w:t>
      </w:r>
    </w:p>
    <w:p w14:paraId="4DB897D0" w14:textId="6BBBAA18" w:rsidR="00666BF9" w:rsidRDefault="007B60E5" w:rsidP="00666BF9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Capacité du secteur et de l’entreprise à supporter une trajectoire SB2A</w:t>
      </w:r>
    </w:p>
    <w:p w14:paraId="401E6AB4" w14:textId="77777777" w:rsidR="00182812" w:rsidRDefault="00182812" w:rsidP="00A81A1A">
      <w:pPr>
        <w:spacing w:after="120" w:line="240" w:lineRule="auto"/>
        <w:rPr>
          <w:color w:val="002060"/>
        </w:rPr>
      </w:pPr>
    </w:p>
    <w:p w14:paraId="6EBEC9D5" w14:textId="197940C6" w:rsidR="00D56576" w:rsidRDefault="00182812" w:rsidP="00A81A1A">
      <w:pPr>
        <w:spacing w:after="120" w:line="240" w:lineRule="auto"/>
      </w:pPr>
      <w:r w:rsidRPr="00182812">
        <w:t>2.2. Données</w:t>
      </w:r>
    </w:p>
    <w:p w14:paraId="67A2D4F8" w14:textId="2F47770E" w:rsidR="00D56576" w:rsidRDefault="00FB1B97" w:rsidP="00A81A1A">
      <w:pPr>
        <w:spacing w:after="120" w:line="240" w:lineRule="auto"/>
      </w:pPr>
      <w:r w:rsidRPr="00FB1B97">
        <w:t>2.2.1. Couvertures</w:t>
      </w:r>
    </w:p>
    <w:p w14:paraId="4BA6B925" w14:textId="573BBE20" w:rsidR="00FB1B97" w:rsidRDefault="00F40539" w:rsidP="00A81A1A">
      <w:pPr>
        <w:spacing w:after="120" w:line="240" w:lineRule="auto"/>
        <w:rPr>
          <w:color w:val="002060"/>
        </w:rPr>
      </w:pPr>
      <w:r>
        <w:rPr>
          <w:color w:val="002060"/>
        </w:rPr>
        <w:t xml:space="preserve">100% des </w:t>
      </w:r>
      <w:r w:rsidR="00796287">
        <w:rPr>
          <w:color w:val="002060"/>
        </w:rPr>
        <w:t>investissements réalisés par fonds dits article 8 et article 9 au sens de SFDR.</w:t>
      </w:r>
    </w:p>
    <w:p w14:paraId="56199D80" w14:textId="77777777" w:rsidR="00FB1B97" w:rsidRDefault="00FB1B97" w:rsidP="00A81A1A">
      <w:pPr>
        <w:spacing w:after="120" w:line="240" w:lineRule="auto"/>
      </w:pPr>
    </w:p>
    <w:p w14:paraId="6A5EE0A0" w14:textId="4DF94D03" w:rsidR="00FB1B97" w:rsidRDefault="00182812" w:rsidP="00A81A1A">
      <w:pPr>
        <w:spacing w:after="120" w:line="240" w:lineRule="auto"/>
      </w:pPr>
      <w:r w:rsidRPr="00182812">
        <w:t>2.2.2. Données réelles</w:t>
      </w:r>
    </w:p>
    <w:p w14:paraId="4D79EE33" w14:textId="2D9CF789" w:rsidR="004D5019" w:rsidRPr="001B4EE7" w:rsidRDefault="004D5019" w:rsidP="004D5019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Diagnostic ESG &amp; Climat</w:t>
      </w:r>
    </w:p>
    <w:p w14:paraId="59B40B98" w14:textId="77AFE7F5" w:rsidR="004D5019" w:rsidRDefault="004D5019" w:rsidP="004D5019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Reporting ESG annuel</w:t>
      </w:r>
    </w:p>
    <w:p w14:paraId="1C5EF7BA" w14:textId="77777777" w:rsidR="00FB1B97" w:rsidRDefault="00FB1B97" w:rsidP="00A81A1A">
      <w:pPr>
        <w:spacing w:after="120" w:line="240" w:lineRule="auto"/>
      </w:pPr>
    </w:p>
    <w:p w14:paraId="2145743F" w14:textId="10F44C9A" w:rsidR="00182812" w:rsidRDefault="00182812" w:rsidP="00A81A1A">
      <w:pPr>
        <w:spacing w:after="120" w:line="240" w:lineRule="auto"/>
      </w:pPr>
      <w:r w:rsidRPr="00182812">
        <w:t>2.2.3. Données estimées</w:t>
      </w:r>
    </w:p>
    <w:p w14:paraId="6BF4B19D" w14:textId="00705C4A" w:rsidR="00CA597E" w:rsidRPr="002F40B1" w:rsidRDefault="00CA597E" w:rsidP="002F40B1">
      <w:pPr>
        <w:spacing w:after="120" w:line="240" w:lineRule="auto"/>
        <w:jc w:val="both"/>
        <w:rPr>
          <w:color w:val="002060"/>
        </w:rPr>
      </w:pPr>
      <w:r w:rsidRPr="002F40B1">
        <w:rPr>
          <w:color w:val="002060"/>
        </w:rPr>
        <w:t>Estimation de l’empreinte carbone scope 1 et 2 à partir des consommations d’énergie annuelles</w:t>
      </w:r>
    </w:p>
    <w:p w14:paraId="1591DFEC" w14:textId="77777777" w:rsidR="00FB1B97" w:rsidRDefault="00FB1B97" w:rsidP="00A81A1A">
      <w:pPr>
        <w:spacing w:after="120" w:line="240" w:lineRule="auto"/>
      </w:pPr>
    </w:p>
    <w:p w14:paraId="0352E4BA" w14:textId="77777777" w:rsidR="00537325" w:rsidRDefault="00537325">
      <w:pPr>
        <w:rPr>
          <w:b/>
          <w:bCs/>
        </w:rPr>
      </w:pPr>
      <w:r>
        <w:rPr>
          <w:b/>
          <w:bCs/>
        </w:rPr>
        <w:br w:type="page"/>
      </w:r>
    </w:p>
    <w:p w14:paraId="29620783" w14:textId="5588FCB1" w:rsidR="00182812" w:rsidRDefault="005B7E2E" w:rsidP="00A81A1A">
      <w:pPr>
        <w:spacing w:after="120" w:line="240" w:lineRule="auto"/>
        <w:rPr>
          <w:b/>
          <w:bCs/>
        </w:rPr>
      </w:pPr>
      <w:r w:rsidRPr="005B7E2E">
        <w:rPr>
          <w:b/>
          <w:bCs/>
        </w:rPr>
        <w:lastRenderedPageBreak/>
        <w:t>3. Impacts financiers et transparence sur les stress tests</w:t>
      </w:r>
    </w:p>
    <w:p w14:paraId="1F81D30A" w14:textId="4EDCE59F" w:rsidR="005B7E2E" w:rsidRDefault="005B7E2E" w:rsidP="00A81A1A">
      <w:pPr>
        <w:spacing w:after="120" w:line="240" w:lineRule="auto"/>
      </w:pPr>
      <w:r w:rsidRPr="005B7E2E">
        <w:t>3.1. Impacts financiers estimés</w:t>
      </w:r>
    </w:p>
    <w:p w14:paraId="621D3FB2" w14:textId="1B030B2B" w:rsidR="005B7E2E" w:rsidRPr="005B7E2E" w:rsidRDefault="005B7E2E" w:rsidP="00A81A1A">
      <w:pPr>
        <w:spacing w:after="120" w:line="240" w:lineRule="auto"/>
      </w:pPr>
      <w:r w:rsidRPr="005B7E2E">
        <w:t>3.1.1. Tableau des impacts financiers</w:t>
      </w:r>
    </w:p>
    <w:p w14:paraId="02DC6A32" w14:textId="77777777" w:rsidR="0080590B" w:rsidRDefault="0080590B" w:rsidP="0080590B">
      <w:pPr>
        <w:spacing w:after="120" w:line="240" w:lineRule="auto"/>
        <w:rPr>
          <w:color w:val="002060"/>
        </w:rPr>
      </w:pPr>
      <w:r>
        <w:rPr>
          <w:color w:val="002060"/>
        </w:rPr>
        <w:t>Pas d’évaluation quantitative à date.</w:t>
      </w:r>
    </w:p>
    <w:p w14:paraId="0FADBEB6" w14:textId="77777777" w:rsidR="00FB1B97" w:rsidRDefault="00FB1B97" w:rsidP="00A81A1A">
      <w:pPr>
        <w:spacing w:after="120" w:line="240" w:lineRule="auto"/>
      </w:pPr>
    </w:p>
    <w:p w14:paraId="7552BEBB" w14:textId="1F42CFEF" w:rsidR="005B7E2E" w:rsidRDefault="00D91E03" w:rsidP="00A81A1A">
      <w:pPr>
        <w:spacing w:after="120" w:line="240" w:lineRule="auto"/>
      </w:pPr>
      <w:r w:rsidRPr="00D91E03">
        <w:t>3.1.2. Explication des types d'impacts financiers estimés</w:t>
      </w:r>
    </w:p>
    <w:p w14:paraId="4305FBAC" w14:textId="77777777" w:rsidR="00FB0631" w:rsidRDefault="00FB0631" w:rsidP="00FB0631">
      <w:pPr>
        <w:spacing w:after="120" w:line="240" w:lineRule="auto"/>
        <w:rPr>
          <w:color w:val="002060"/>
        </w:rPr>
      </w:pPr>
      <w:r>
        <w:rPr>
          <w:color w:val="002060"/>
        </w:rPr>
        <w:t>Non applicable</w:t>
      </w:r>
    </w:p>
    <w:p w14:paraId="25D5494A" w14:textId="77777777" w:rsidR="00FB1B97" w:rsidRDefault="00FB1B97" w:rsidP="00A81A1A">
      <w:pPr>
        <w:spacing w:after="120" w:line="240" w:lineRule="auto"/>
      </w:pPr>
    </w:p>
    <w:p w14:paraId="01CDF1A9" w14:textId="1F9F959F" w:rsidR="00D91E03" w:rsidRPr="007B71B0" w:rsidRDefault="00D91E03" w:rsidP="00A81A1A">
      <w:pPr>
        <w:spacing w:after="120" w:line="240" w:lineRule="auto"/>
        <w:rPr>
          <w:b/>
          <w:bCs/>
        </w:rPr>
      </w:pPr>
      <w:r w:rsidRPr="007B71B0">
        <w:rPr>
          <w:b/>
          <w:bCs/>
        </w:rPr>
        <w:t>4. Plan d'amélioration continue</w:t>
      </w:r>
    </w:p>
    <w:p w14:paraId="450B2760" w14:textId="2CB36A60" w:rsidR="00D91E03" w:rsidRDefault="007B71B0" w:rsidP="00A81A1A">
      <w:pPr>
        <w:spacing w:after="120" w:line="240" w:lineRule="auto"/>
      </w:pPr>
      <w:r w:rsidRPr="007B71B0">
        <w:t>4.2. Pistes d'amélioration</w:t>
      </w:r>
    </w:p>
    <w:p w14:paraId="1E2FFC8A" w14:textId="13EDAA01" w:rsidR="007B71B0" w:rsidRDefault="007B71B0" w:rsidP="00A81A1A">
      <w:pPr>
        <w:spacing w:after="120" w:line="240" w:lineRule="auto"/>
      </w:pPr>
      <w:r w:rsidRPr="007B71B0">
        <w:t>4.2.1. De la démarche</w:t>
      </w:r>
    </w:p>
    <w:p w14:paraId="4BC9C2F1" w14:textId="3A1DEDB6" w:rsidR="00540942" w:rsidRPr="001B4EE7" w:rsidRDefault="00540942" w:rsidP="00540942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Maîtrise des méthodes et des outils</w:t>
      </w:r>
    </w:p>
    <w:p w14:paraId="16487B35" w14:textId="08CA5D46" w:rsidR="00540942" w:rsidRDefault="00540942" w:rsidP="00540942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Taux de couverture </w:t>
      </w:r>
      <w:r w:rsidR="009D23D5">
        <w:rPr>
          <w:color w:val="002060"/>
        </w:rPr>
        <w:t xml:space="preserve">et de pénétration </w:t>
      </w:r>
      <w:r>
        <w:rPr>
          <w:color w:val="002060"/>
        </w:rPr>
        <w:t>de la démarche ESG et Climat</w:t>
      </w:r>
      <w:r w:rsidR="00A46370">
        <w:rPr>
          <w:color w:val="002060"/>
        </w:rPr>
        <w:t xml:space="preserve"> ; </w:t>
      </w:r>
      <w:r w:rsidR="006F4A3E">
        <w:rPr>
          <w:color w:val="002060"/>
        </w:rPr>
        <w:t xml:space="preserve">à commencer par les </w:t>
      </w:r>
      <w:r w:rsidR="00A46370">
        <w:rPr>
          <w:color w:val="002060"/>
        </w:rPr>
        <w:t>p</w:t>
      </w:r>
      <w:r w:rsidR="00A46370" w:rsidRPr="00A46370">
        <w:rPr>
          <w:color w:val="002060"/>
        </w:rPr>
        <w:t>rogramme</w:t>
      </w:r>
      <w:r w:rsidR="00A46370">
        <w:rPr>
          <w:color w:val="002060"/>
        </w:rPr>
        <w:t>s</w:t>
      </w:r>
      <w:r w:rsidR="00A46370" w:rsidRPr="00A46370">
        <w:rPr>
          <w:color w:val="002060"/>
        </w:rPr>
        <w:t xml:space="preserve"> de conseil et d’accompagnement </w:t>
      </w:r>
      <w:r w:rsidR="00A46370">
        <w:rPr>
          <w:color w:val="002060"/>
        </w:rPr>
        <w:t xml:space="preserve">développés </w:t>
      </w:r>
      <w:r w:rsidR="00A46370" w:rsidRPr="00A46370">
        <w:rPr>
          <w:color w:val="002060"/>
        </w:rPr>
        <w:t>à l’attention des entreprises en portefeuilles du Groupe pour la réalisation d’un bilan carbone et la définition d’une stratégie de réduction des émissions de GES</w:t>
      </w:r>
    </w:p>
    <w:p w14:paraId="4E29ABE2" w14:textId="756CC1B5" w:rsidR="00540942" w:rsidRDefault="009D23D5" w:rsidP="00540942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Taux d’atteinte des objectifs ESG et Climat</w:t>
      </w:r>
    </w:p>
    <w:p w14:paraId="63D41161" w14:textId="77777777" w:rsidR="00FB1B97" w:rsidRDefault="00FB1B97" w:rsidP="00A81A1A">
      <w:pPr>
        <w:spacing w:after="120" w:line="240" w:lineRule="auto"/>
      </w:pPr>
    </w:p>
    <w:p w14:paraId="1A823DF9" w14:textId="5400A36C" w:rsidR="007B71B0" w:rsidRDefault="007B71B0" w:rsidP="00A81A1A">
      <w:pPr>
        <w:spacing w:after="120" w:line="240" w:lineRule="auto"/>
      </w:pPr>
      <w:r w:rsidRPr="007B71B0">
        <w:t>4.2.2. Méthodologiques</w:t>
      </w:r>
    </w:p>
    <w:p w14:paraId="18E38A4B" w14:textId="714E3C22" w:rsidR="003108F5" w:rsidRPr="00D243DE" w:rsidRDefault="003108F5" w:rsidP="00D243DE">
      <w:pPr>
        <w:spacing w:after="120" w:line="240" w:lineRule="auto"/>
        <w:jc w:val="both"/>
        <w:rPr>
          <w:color w:val="002060"/>
        </w:rPr>
      </w:pPr>
      <w:r w:rsidRPr="00D243DE">
        <w:rPr>
          <w:color w:val="002060"/>
        </w:rPr>
        <w:t>Recours systématique aux méthodo</w:t>
      </w:r>
      <w:r w:rsidR="00D243DE" w:rsidRPr="00D243DE">
        <w:rPr>
          <w:color w:val="002060"/>
        </w:rPr>
        <w:t>logies basées sur la science d’alignement avec les objectifs de l’Accord de Paris.</w:t>
      </w:r>
    </w:p>
    <w:p w14:paraId="3F38F64C" w14:textId="77777777" w:rsidR="00FB1B97" w:rsidRDefault="00FB1B97" w:rsidP="00A81A1A">
      <w:pPr>
        <w:spacing w:after="120" w:line="240" w:lineRule="auto"/>
      </w:pPr>
    </w:p>
    <w:p w14:paraId="76877AA6" w14:textId="1BC5229A" w:rsidR="007B71B0" w:rsidRDefault="005743EA" w:rsidP="00A81A1A">
      <w:pPr>
        <w:spacing w:after="120" w:line="240" w:lineRule="auto"/>
      </w:pPr>
      <w:r w:rsidRPr="005743EA">
        <w:t>4.2.3. De couverture</w:t>
      </w:r>
    </w:p>
    <w:p w14:paraId="5A07C117" w14:textId="041DB49A" w:rsidR="007B71B0" w:rsidRDefault="006205A3" w:rsidP="00A81A1A">
      <w:pPr>
        <w:spacing w:after="120" w:line="240" w:lineRule="auto"/>
        <w:rPr>
          <w:color w:val="002060"/>
        </w:rPr>
      </w:pPr>
      <w:r>
        <w:rPr>
          <w:color w:val="002060"/>
        </w:rPr>
        <w:t>Taux de couverture et de pénétration de la démarche ESG et Climat activité par activité</w:t>
      </w:r>
    </w:p>
    <w:p w14:paraId="54297A9F" w14:textId="77777777" w:rsidR="006205A3" w:rsidRDefault="006205A3" w:rsidP="00A81A1A">
      <w:pPr>
        <w:spacing w:after="120" w:line="240" w:lineRule="auto"/>
      </w:pPr>
    </w:p>
    <w:p w14:paraId="3E270586" w14:textId="77777777" w:rsidR="006205A3" w:rsidRDefault="006205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E3A800B" w14:textId="02A63AB6" w:rsidR="00FB1B97" w:rsidRPr="005743EA" w:rsidRDefault="005743EA" w:rsidP="00A81A1A">
      <w:pPr>
        <w:spacing w:after="120" w:line="240" w:lineRule="auto"/>
        <w:rPr>
          <w:b/>
          <w:bCs/>
          <w:sz w:val="24"/>
          <w:szCs w:val="24"/>
        </w:rPr>
      </w:pPr>
      <w:r w:rsidRPr="005743EA">
        <w:rPr>
          <w:b/>
          <w:bCs/>
          <w:sz w:val="24"/>
          <w:szCs w:val="24"/>
        </w:rPr>
        <w:lastRenderedPageBreak/>
        <w:t>Pilier III | Incidences des investissements</w:t>
      </w:r>
      <w:r>
        <w:rPr>
          <w:b/>
          <w:bCs/>
          <w:sz w:val="24"/>
          <w:szCs w:val="24"/>
        </w:rPr>
        <w:t xml:space="preserve"> : </w:t>
      </w:r>
      <w:r w:rsidRPr="005743EA">
        <w:rPr>
          <w:b/>
          <w:bCs/>
          <w:sz w:val="24"/>
          <w:szCs w:val="24"/>
        </w:rPr>
        <w:t>Alignement et contributions à la Transition ou au réchauffement</w:t>
      </w:r>
    </w:p>
    <w:p w14:paraId="323DEBFA" w14:textId="3AF5ACE5" w:rsidR="00FB1B97" w:rsidRPr="00841CCE" w:rsidRDefault="00841CCE" w:rsidP="00A81A1A">
      <w:pPr>
        <w:spacing w:after="120" w:line="240" w:lineRule="auto"/>
        <w:rPr>
          <w:b/>
          <w:bCs/>
        </w:rPr>
      </w:pPr>
      <w:r w:rsidRPr="00841CCE">
        <w:rPr>
          <w:b/>
          <w:bCs/>
        </w:rPr>
        <w:t>1. Identification</w:t>
      </w:r>
    </w:p>
    <w:p w14:paraId="76A71B4A" w14:textId="3048EF35" w:rsidR="00841CCE" w:rsidRDefault="00841CCE" w:rsidP="00A81A1A">
      <w:pPr>
        <w:spacing w:after="120" w:line="240" w:lineRule="auto"/>
      </w:pPr>
      <w:r w:rsidRPr="00841CCE">
        <w:t>1.3. Incidences analysées</w:t>
      </w:r>
    </w:p>
    <w:p w14:paraId="1B57064E" w14:textId="2B7E356E" w:rsidR="00841CCE" w:rsidRDefault="00D44423" w:rsidP="00A81A1A">
      <w:pPr>
        <w:spacing w:after="120" w:line="240" w:lineRule="auto"/>
      </w:pPr>
      <w:r w:rsidRPr="00D44423">
        <w:t>1.3.2. Développement méthodologique</w:t>
      </w:r>
    </w:p>
    <w:p w14:paraId="2E58E3DB" w14:textId="4AACFBF1" w:rsidR="001A17BE" w:rsidRPr="00DF68F5" w:rsidRDefault="00071A4F" w:rsidP="00DF68F5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Développement d’un o</w:t>
      </w:r>
      <w:r w:rsidR="001A17BE" w:rsidRPr="00DF68F5">
        <w:rPr>
          <w:color w:val="002060"/>
        </w:rPr>
        <w:t>util</w:t>
      </w:r>
      <w:r w:rsidR="004E59CA" w:rsidRPr="00DF68F5">
        <w:rPr>
          <w:color w:val="002060"/>
        </w:rPr>
        <w:t xml:space="preserve"> </w:t>
      </w:r>
      <w:r w:rsidR="00DF68F5">
        <w:rPr>
          <w:color w:val="002060"/>
        </w:rPr>
        <w:t xml:space="preserve">propriétaire </w:t>
      </w:r>
      <w:r w:rsidR="004E59CA" w:rsidRPr="00DF68F5">
        <w:rPr>
          <w:color w:val="002060"/>
        </w:rPr>
        <w:t>d’analyse de l’éligibil</w:t>
      </w:r>
      <w:r w:rsidR="001A17BE" w:rsidRPr="00DF68F5">
        <w:rPr>
          <w:color w:val="002060"/>
        </w:rPr>
        <w:t>ité et de l’alignement des activités des entreprises en portefeuilles avec la taxinomie verte européenne</w:t>
      </w:r>
      <w:r>
        <w:rPr>
          <w:color w:val="002060"/>
        </w:rPr>
        <w:t>.</w:t>
      </w:r>
    </w:p>
    <w:p w14:paraId="73BD1CDD" w14:textId="77777777" w:rsidR="00D44423" w:rsidRDefault="00D44423" w:rsidP="00A81A1A">
      <w:pPr>
        <w:spacing w:after="120" w:line="240" w:lineRule="auto"/>
      </w:pPr>
    </w:p>
    <w:p w14:paraId="4937D07E" w14:textId="0FE8F404" w:rsidR="00D44423" w:rsidRDefault="00D44423" w:rsidP="00A81A1A">
      <w:pPr>
        <w:spacing w:after="120" w:line="240" w:lineRule="auto"/>
      </w:pPr>
      <w:r w:rsidRPr="00D44423">
        <w:rPr>
          <w:b/>
          <w:bCs/>
        </w:rPr>
        <w:t>2. Emissions de GES induites par les investissements</w:t>
      </w:r>
    </w:p>
    <w:p w14:paraId="7052955E" w14:textId="0F209B00" w:rsidR="00D44423" w:rsidRDefault="00F118C2" w:rsidP="00A81A1A">
      <w:pPr>
        <w:spacing w:after="120" w:line="240" w:lineRule="auto"/>
      </w:pPr>
      <w:r w:rsidRPr="00F118C2">
        <w:t>2.2. Explication des données</w:t>
      </w:r>
    </w:p>
    <w:p w14:paraId="6B9B79DE" w14:textId="76193AB4" w:rsidR="00F118C2" w:rsidRDefault="00F118C2" w:rsidP="00A81A1A">
      <w:pPr>
        <w:spacing w:after="120" w:line="240" w:lineRule="auto"/>
      </w:pPr>
      <w:r w:rsidRPr="00F118C2">
        <w:t>2.2.1. Couvertures</w:t>
      </w:r>
    </w:p>
    <w:p w14:paraId="183FA557" w14:textId="77777777" w:rsidR="0091236A" w:rsidRDefault="0091236A" w:rsidP="0091236A">
      <w:pPr>
        <w:spacing w:after="120" w:line="240" w:lineRule="auto"/>
        <w:rPr>
          <w:color w:val="002060"/>
        </w:rPr>
      </w:pPr>
      <w:r>
        <w:rPr>
          <w:color w:val="002060"/>
        </w:rPr>
        <w:t>100% des investissements réalisés par fonds dits article 8 et article 9 au sens de SFDR.</w:t>
      </w:r>
    </w:p>
    <w:p w14:paraId="709AB989" w14:textId="77777777" w:rsidR="00F118C2" w:rsidRDefault="00F118C2" w:rsidP="00A81A1A">
      <w:pPr>
        <w:spacing w:after="120" w:line="240" w:lineRule="auto"/>
      </w:pPr>
    </w:p>
    <w:p w14:paraId="077355A4" w14:textId="571B4350" w:rsidR="00F118C2" w:rsidRDefault="00F118C2" w:rsidP="00A81A1A">
      <w:pPr>
        <w:spacing w:after="120" w:line="240" w:lineRule="auto"/>
      </w:pPr>
      <w:r w:rsidRPr="00F118C2">
        <w:t>2.2.1.</w:t>
      </w:r>
      <w:r>
        <w:t xml:space="preserve"> </w:t>
      </w:r>
      <w:r w:rsidRPr="00F118C2">
        <w:t>Données réelles</w:t>
      </w:r>
    </w:p>
    <w:p w14:paraId="48EBE2D3" w14:textId="3EDFADED" w:rsidR="00F118C2" w:rsidRDefault="002F40B1" w:rsidP="002F40B1">
      <w:pPr>
        <w:spacing w:after="120" w:line="240" w:lineRule="auto"/>
        <w:jc w:val="both"/>
        <w:rPr>
          <w:color w:val="002060"/>
        </w:rPr>
      </w:pPr>
      <w:r w:rsidRPr="002F40B1">
        <w:rPr>
          <w:color w:val="002060"/>
        </w:rPr>
        <w:t>Reporting ESG annuel</w:t>
      </w:r>
    </w:p>
    <w:p w14:paraId="3E076194" w14:textId="77777777" w:rsidR="002F40B1" w:rsidRPr="002F40B1" w:rsidRDefault="002F40B1" w:rsidP="002F40B1">
      <w:pPr>
        <w:spacing w:after="120" w:line="240" w:lineRule="auto"/>
        <w:jc w:val="both"/>
        <w:rPr>
          <w:color w:val="002060"/>
        </w:rPr>
      </w:pPr>
    </w:p>
    <w:p w14:paraId="247EAC9A" w14:textId="28CDD384" w:rsidR="00F118C2" w:rsidRDefault="00C26E2F" w:rsidP="00A81A1A">
      <w:pPr>
        <w:spacing w:after="120" w:line="240" w:lineRule="auto"/>
      </w:pPr>
      <w:r w:rsidRPr="00C26E2F">
        <w:t>2.2.2.</w:t>
      </w:r>
      <w:r>
        <w:t xml:space="preserve"> </w:t>
      </w:r>
      <w:r w:rsidRPr="00C26E2F">
        <w:t>Données estimées</w:t>
      </w:r>
    </w:p>
    <w:p w14:paraId="6747CB74" w14:textId="574A11DA" w:rsidR="002F40B1" w:rsidRPr="002F40B1" w:rsidRDefault="002F40B1" w:rsidP="002F40B1">
      <w:pPr>
        <w:spacing w:after="120" w:line="240" w:lineRule="auto"/>
        <w:jc w:val="both"/>
        <w:rPr>
          <w:color w:val="002060"/>
        </w:rPr>
      </w:pPr>
      <w:r w:rsidRPr="002F40B1">
        <w:rPr>
          <w:color w:val="002060"/>
        </w:rPr>
        <w:t xml:space="preserve">Estimation </w:t>
      </w:r>
      <w:r>
        <w:rPr>
          <w:color w:val="002060"/>
        </w:rPr>
        <w:t xml:space="preserve">le cas échéant </w:t>
      </w:r>
      <w:r w:rsidRPr="002F40B1">
        <w:rPr>
          <w:color w:val="002060"/>
        </w:rPr>
        <w:t>de l’empreinte carbone scope 1 et 2 à partir des consommations d’énergie annuelles</w:t>
      </w:r>
    </w:p>
    <w:p w14:paraId="3514960C" w14:textId="77777777" w:rsidR="00C26E2F" w:rsidRDefault="00C26E2F" w:rsidP="00A81A1A">
      <w:pPr>
        <w:spacing w:after="120" w:line="240" w:lineRule="auto"/>
      </w:pPr>
    </w:p>
    <w:p w14:paraId="7B528843" w14:textId="7850A091" w:rsidR="00C26E2F" w:rsidRDefault="00C26E2F" w:rsidP="00A81A1A">
      <w:pPr>
        <w:spacing w:after="120" w:line="240" w:lineRule="auto"/>
      </w:pPr>
      <w:r w:rsidRPr="00C26E2F">
        <w:rPr>
          <w:b/>
          <w:bCs/>
        </w:rPr>
        <w:t>3. Explications propre à chaque analyse d'alignement</w:t>
      </w:r>
    </w:p>
    <w:p w14:paraId="7BBBDCB8" w14:textId="44193B12" w:rsidR="00C26E2F" w:rsidRDefault="00CA239C" w:rsidP="00A81A1A">
      <w:pPr>
        <w:spacing w:after="120" w:line="240" w:lineRule="auto"/>
      </w:pPr>
      <w:r w:rsidRPr="00CA239C">
        <w:t>3.1. Méthodes et indicateurs</w:t>
      </w:r>
    </w:p>
    <w:p w14:paraId="5C1E2774" w14:textId="78C08BE6" w:rsidR="00CA239C" w:rsidRDefault="00CA239C" w:rsidP="00A81A1A">
      <w:pPr>
        <w:spacing w:after="120" w:line="240" w:lineRule="auto"/>
      </w:pPr>
      <w:r w:rsidRPr="00CA239C">
        <w:t>3.1.1. Méthode / outil utilisé</w:t>
      </w:r>
    </w:p>
    <w:p w14:paraId="41BDC79F" w14:textId="77777777" w:rsidR="00E96006" w:rsidRPr="00E96006" w:rsidRDefault="00D84C60" w:rsidP="00E96006">
      <w:pPr>
        <w:spacing w:after="120" w:line="240" w:lineRule="auto"/>
        <w:jc w:val="both"/>
        <w:rPr>
          <w:color w:val="002060"/>
          <w:u w:val="single"/>
        </w:rPr>
      </w:pPr>
      <w:r w:rsidRPr="00E96006">
        <w:rPr>
          <w:color w:val="002060"/>
          <w:u w:val="single"/>
        </w:rPr>
        <w:t xml:space="preserve">Méthode utilisée </w:t>
      </w:r>
    </w:p>
    <w:p w14:paraId="0D4A81DC" w14:textId="1A7626DE" w:rsidR="00D84C60" w:rsidRPr="00E96006" w:rsidRDefault="00E96006" w:rsidP="00E96006">
      <w:pPr>
        <w:spacing w:after="240" w:line="240" w:lineRule="auto"/>
        <w:jc w:val="both"/>
        <w:rPr>
          <w:color w:val="002060"/>
        </w:rPr>
      </w:pPr>
      <w:r w:rsidRPr="00E96006">
        <w:rPr>
          <w:color w:val="002060"/>
        </w:rPr>
        <w:t>Bilan carbone scope 1, 2 et 3 sinon estimation de l’empreinte carbone scope 1 et 2 à partir des consommations d’énergie réalisée par un consultant expert externe.</w:t>
      </w:r>
    </w:p>
    <w:p w14:paraId="6C8C7146" w14:textId="603C9E2F" w:rsidR="002229D8" w:rsidRPr="002229D8" w:rsidRDefault="00D84C60" w:rsidP="002229D8">
      <w:pPr>
        <w:spacing w:after="120" w:line="240" w:lineRule="auto"/>
        <w:jc w:val="both"/>
        <w:rPr>
          <w:color w:val="002060"/>
          <w:u w:val="single"/>
        </w:rPr>
      </w:pPr>
      <w:r w:rsidRPr="002229D8">
        <w:rPr>
          <w:color w:val="002060"/>
          <w:u w:val="single"/>
        </w:rPr>
        <w:t>Description de l'application</w:t>
      </w:r>
      <w:r w:rsidR="00D81C54">
        <w:rPr>
          <w:color w:val="002060"/>
          <w:u w:val="single"/>
        </w:rPr>
        <w:t xml:space="preserve"> (au cas par cas)</w:t>
      </w:r>
      <w:r w:rsidRPr="002229D8">
        <w:rPr>
          <w:color w:val="002060"/>
          <w:u w:val="single"/>
        </w:rPr>
        <w:t xml:space="preserve"> </w:t>
      </w:r>
    </w:p>
    <w:p w14:paraId="6222574E" w14:textId="78AFF012" w:rsidR="00CA239C" w:rsidRDefault="00D81C54" w:rsidP="002229D8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Trajectoire SBT de réduction des émissions de GES alignée sur un scénario </w:t>
      </w:r>
      <w:r w:rsidR="00F43557">
        <w:rPr>
          <w:color w:val="002060"/>
        </w:rPr>
        <w:t>2°C a minima</w:t>
      </w:r>
    </w:p>
    <w:p w14:paraId="4152D277" w14:textId="251E54AD" w:rsidR="00F42BD5" w:rsidRPr="002229D8" w:rsidRDefault="00F42BD5" w:rsidP="002229D8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Trajectoire de réduction de l’intensité carbone de l’activité (</w:t>
      </w:r>
      <w:r w:rsidR="002E7331">
        <w:rPr>
          <w:color w:val="002060"/>
        </w:rPr>
        <w:t xml:space="preserve">feuille de route annuelle sur le scope 1 et 2 + objectif à moyen terme sur </w:t>
      </w:r>
      <w:r w:rsidR="001B452D">
        <w:rPr>
          <w:color w:val="002060"/>
        </w:rPr>
        <w:t>les principaux postes d’émissions</w:t>
      </w:r>
      <w:r w:rsidR="002E7331">
        <w:rPr>
          <w:color w:val="002060"/>
        </w:rPr>
        <w:t xml:space="preserve"> du scope 3)</w:t>
      </w:r>
    </w:p>
    <w:p w14:paraId="7283BAB5" w14:textId="77777777" w:rsidR="00D84C60" w:rsidRPr="00D84C60" w:rsidRDefault="00D84C60" w:rsidP="00D84C60">
      <w:pPr>
        <w:spacing w:after="120" w:line="240" w:lineRule="auto"/>
        <w:jc w:val="both"/>
        <w:rPr>
          <w:color w:val="002060"/>
        </w:rPr>
      </w:pPr>
    </w:p>
    <w:p w14:paraId="2E9CA7BB" w14:textId="1A3E118C" w:rsidR="00CA239C" w:rsidRDefault="00CA239C" w:rsidP="00A81A1A">
      <w:pPr>
        <w:spacing w:after="120" w:line="240" w:lineRule="auto"/>
      </w:pPr>
      <w:r w:rsidRPr="00CA239C">
        <w:t>3.1.2. Cadre de comparaison / scénario utilisé</w:t>
      </w:r>
    </w:p>
    <w:p w14:paraId="1466A558" w14:textId="188CEAC7" w:rsidR="00CA239C" w:rsidRDefault="001B452D" w:rsidP="00A81A1A">
      <w:pPr>
        <w:spacing w:after="120" w:line="240" w:lineRule="auto"/>
        <w:rPr>
          <w:color w:val="002060"/>
        </w:rPr>
      </w:pPr>
      <w:r>
        <w:rPr>
          <w:color w:val="002060"/>
        </w:rPr>
        <w:t xml:space="preserve">SB2A </w:t>
      </w:r>
      <w:r w:rsidR="00E718D9">
        <w:rPr>
          <w:color w:val="002060"/>
        </w:rPr>
        <w:t>autant que possible</w:t>
      </w:r>
    </w:p>
    <w:p w14:paraId="40E1EE85" w14:textId="77777777" w:rsidR="00CA239C" w:rsidRDefault="00CA239C" w:rsidP="00A81A1A">
      <w:pPr>
        <w:spacing w:after="120" w:line="240" w:lineRule="auto"/>
      </w:pPr>
    </w:p>
    <w:p w14:paraId="48FC5C1D" w14:textId="76427863" w:rsidR="00CA239C" w:rsidRDefault="00CA239C" w:rsidP="00A81A1A">
      <w:pPr>
        <w:spacing w:after="120" w:line="240" w:lineRule="auto"/>
      </w:pPr>
      <w:r w:rsidRPr="00CA239C">
        <w:t>3.1.3. Explication des choix</w:t>
      </w:r>
    </w:p>
    <w:p w14:paraId="13A3DD5C" w14:textId="161C27B0" w:rsidR="00CA239C" w:rsidRDefault="00E718D9" w:rsidP="00A81A1A">
      <w:pPr>
        <w:spacing w:after="120" w:line="240" w:lineRule="auto"/>
        <w:rPr>
          <w:color w:val="002060"/>
        </w:rPr>
      </w:pPr>
      <w:r>
        <w:rPr>
          <w:color w:val="002060"/>
        </w:rPr>
        <w:t>Cadre méthodologique opérationnel</w:t>
      </w:r>
      <w:r w:rsidR="00E24B0D">
        <w:rPr>
          <w:color w:val="002060"/>
        </w:rPr>
        <w:t xml:space="preserve"> compatible </w:t>
      </w:r>
      <w:r w:rsidR="00912BE0">
        <w:rPr>
          <w:color w:val="002060"/>
        </w:rPr>
        <w:t>avec la stratégie Climat de Siparex.</w:t>
      </w:r>
    </w:p>
    <w:p w14:paraId="106FBC03" w14:textId="77777777" w:rsidR="00CA239C" w:rsidRDefault="00CA239C" w:rsidP="00A81A1A">
      <w:pPr>
        <w:spacing w:after="120" w:line="240" w:lineRule="auto"/>
      </w:pPr>
    </w:p>
    <w:p w14:paraId="00CEABDD" w14:textId="03779FD6" w:rsidR="00CA239C" w:rsidRDefault="002739E3" w:rsidP="00A81A1A">
      <w:pPr>
        <w:spacing w:after="120" w:line="240" w:lineRule="auto"/>
      </w:pPr>
      <w:r w:rsidRPr="002739E3">
        <w:rPr>
          <w:b/>
          <w:bCs/>
        </w:rPr>
        <w:lastRenderedPageBreak/>
        <w:t>3.2. Données</w:t>
      </w:r>
    </w:p>
    <w:p w14:paraId="79C99176" w14:textId="59C3B0FA" w:rsidR="002739E3" w:rsidRDefault="002739E3" w:rsidP="00A81A1A">
      <w:pPr>
        <w:spacing w:after="120" w:line="240" w:lineRule="auto"/>
      </w:pPr>
      <w:r>
        <w:t>3</w:t>
      </w:r>
      <w:r w:rsidRPr="00F118C2">
        <w:t>.2.1. Couvertures</w:t>
      </w:r>
    </w:p>
    <w:p w14:paraId="3CED44A3" w14:textId="77777777" w:rsidR="006C3FA7" w:rsidRDefault="006C3FA7" w:rsidP="006C3FA7">
      <w:pPr>
        <w:spacing w:after="120" w:line="240" w:lineRule="auto"/>
        <w:rPr>
          <w:color w:val="002060"/>
        </w:rPr>
      </w:pPr>
      <w:r>
        <w:rPr>
          <w:color w:val="002060"/>
        </w:rPr>
        <w:t>100% des investissements réalisés par fonds dits article 8 et article 9 au sens de SFDR.</w:t>
      </w:r>
    </w:p>
    <w:p w14:paraId="1DECD96A" w14:textId="77777777" w:rsidR="002739E3" w:rsidRDefault="002739E3" w:rsidP="00A81A1A">
      <w:pPr>
        <w:spacing w:after="120" w:line="240" w:lineRule="auto"/>
      </w:pPr>
    </w:p>
    <w:p w14:paraId="225D77A6" w14:textId="38D999F2" w:rsidR="002739E3" w:rsidRDefault="002739E3" w:rsidP="00A81A1A">
      <w:pPr>
        <w:spacing w:after="120" w:line="240" w:lineRule="auto"/>
      </w:pPr>
      <w:r>
        <w:t>3</w:t>
      </w:r>
      <w:r w:rsidRPr="00F118C2">
        <w:t>.2.1.</w:t>
      </w:r>
      <w:r>
        <w:t xml:space="preserve"> </w:t>
      </w:r>
      <w:r w:rsidRPr="00F118C2">
        <w:t>Données réelles</w:t>
      </w:r>
    </w:p>
    <w:p w14:paraId="136B1EBD" w14:textId="28BC081C" w:rsidR="006C3FA7" w:rsidRPr="001B4EE7" w:rsidRDefault="006C3FA7" w:rsidP="006C3FA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Bilan carbone scope 1, 2 et 3</w:t>
      </w:r>
    </w:p>
    <w:p w14:paraId="0F86F6EE" w14:textId="77777777" w:rsidR="006C3FA7" w:rsidRDefault="006C3FA7" w:rsidP="006C3FA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Reporting ESG annuel</w:t>
      </w:r>
    </w:p>
    <w:p w14:paraId="53A98041" w14:textId="77777777" w:rsidR="002739E3" w:rsidRDefault="002739E3" w:rsidP="00A81A1A">
      <w:pPr>
        <w:spacing w:after="120" w:line="240" w:lineRule="auto"/>
      </w:pPr>
    </w:p>
    <w:p w14:paraId="28AA24F1" w14:textId="34AD7857" w:rsidR="002739E3" w:rsidRDefault="002739E3" w:rsidP="00A81A1A">
      <w:pPr>
        <w:spacing w:after="120" w:line="240" w:lineRule="auto"/>
      </w:pPr>
      <w:r>
        <w:t>3</w:t>
      </w:r>
      <w:r w:rsidRPr="00C26E2F">
        <w:t>.2.2.</w:t>
      </w:r>
      <w:r>
        <w:t xml:space="preserve"> </w:t>
      </w:r>
      <w:r w:rsidRPr="00C26E2F">
        <w:t>Données estimées</w:t>
      </w:r>
    </w:p>
    <w:p w14:paraId="75CA9030" w14:textId="77777777" w:rsidR="005C12EF" w:rsidRPr="002F40B1" w:rsidRDefault="005C12EF" w:rsidP="005C12EF">
      <w:pPr>
        <w:spacing w:after="120" w:line="240" w:lineRule="auto"/>
        <w:jc w:val="both"/>
        <w:rPr>
          <w:color w:val="002060"/>
        </w:rPr>
      </w:pPr>
      <w:r w:rsidRPr="002F40B1">
        <w:rPr>
          <w:color w:val="002060"/>
        </w:rPr>
        <w:t xml:space="preserve">Estimation </w:t>
      </w:r>
      <w:r>
        <w:rPr>
          <w:color w:val="002060"/>
        </w:rPr>
        <w:t xml:space="preserve">le cas échéant </w:t>
      </w:r>
      <w:r w:rsidRPr="002F40B1">
        <w:rPr>
          <w:color w:val="002060"/>
        </w:rPr>
        <w:t>de l’empreinte carbone scope 1 et 2 à partir des consommations d’énergie annuelles</w:t>
      </w:r>
    </w:p>
    <w:p w14:paraId="23832906" w14:textId="77777777" w:rsidR="002739E3" w:rsidRDefault="002739E3" w:rsidP="00A81A1A">
      <w:pPr>
        <w:spacing w:after="120" w:line="240" w:lineRule="auto"/>
      </w:pPr>
    </w:p>
    <w:p w14:paraId="3F81676A" w14:textId="794AB9A7" w:rsidR="002739E3" w:rsidRDefault="002739E3" w:rsidP="00A81A1A">
      <w:pPr>
        <w:spacing w:after="120" w:line="240" w:lineRule="auto"/>
      </w:pPr>
      <w:r w:rsidRPr="002739E3">
        <w:t>3.3. Résultats</w:t>
      </w:r>
    </w:p>
    <w:p w14:paraId="09C0F029" w14:textId="3AF5135D" w:rsidR="002739E3" w:rsidRDefault="00537466" w:rsidP="00A81A1A">
      <w:pPr>
        <w:spacing w:after="120" w:line="240" w:lineRule="auto"/>
      </w:pPr>
      <w:r w:rsidRPr="00537466">
        <w:t>3.3.1. Communication des résultats</w:t>
      </w:r>
    </w:p>
    <w:p w14:paraId="12E98593" w14:textId="30F3DD55" w:rsidR="00537466" w:rsidRDefault="00273D2C" w:rsidP="00914054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>Calculs en cours pour l’année 2021</w:t>
      </w:r>
      <w:r w:rsidR="00602A13">
        <w:rPr>
          <w:color w:val="002060"/>
        </w:rPr>
        <w:t>. Nous communiquerons les données disponibles en a</w:t>
      </w:r>
      <w:r w:rsidR="00914054">
        <w:rPr>
          <w:color w:val="002060"/>
        </w:rPr>
        <w:t>oût 2022 à l’occasion de la publication de notre rapport annuel ESG Groupe 2021.</w:t>
      </w:r>
    </w:p>
    <w:p w14:paraId="23B618EB" w14:textId="77777777" w:rsidR="00537466" w:rsidRDefault="00537466" w:rsidP="00A81A1A">
      <w:pPr>
        <w:spacing w:after="120" w:line="240" w:lineRule="auto"/>
      </w:pPr>
    </w:p>
    <w:p w14:paraId="50BEE31C" w14:textId="5654C246" w:rsidR="00537466" w:rsidRDefault="00537466" w:rsidP="00A81A1A">
      <w:pPr>
        <w:spacing w:after="120" w:line="240" w:lineRule="auto"/>
      </w:pPr>
      <w:r w:rsidRPr="00537466">
        <w:t>3.3.2. Explication des résultats</w:t>
      </w:r>
    </w:p>
    <w:p w14:paraId="29AC3A26" w14:textId="3D898DC7" w:rsidR="00537466" w:rsidRDefault="00914054" w:rsidP="00A81A1A">
      <w:pPr>
        <w:spacing w:after="120" w:line="240" w:lineRule="auto"/>
        <w:rPr>
          <w:color w:val="002060"/>
        </w:rPr>
      </w:pPr>
      <w:r>
        <w:rPr>
          <w:color w:val="002060"/>
        </w:rPr>
        <w:t>Non applicable.</w:t>
      </w:r>
    </w:p>
    <w:p w14:paraId="4F3F9C72" w14:textId="77777777" w:rsidR="00537466" w:rsidRDefault="00537466" w:rsidP="00A81A1A">
      <w:pPr>
        <w:spacing w:after="120" w:line="240" w:lineRule="auto"/>
      </w:pPr>
    </w:p>
    <w:p w14:paraId="7A2CF47C" w14:textId="6891BDE2" w:rsidR="00537466" w:rsidRDefault="0030569F" w:rsidP="00A81A1A">
      <w:pPr>
        <w:spacing w:after="120" w:line="240" w:lineRule="auto"/>
      </w:pPr>
      <w:r w:rsidRPr="0030569F">
        <w:rPr>
          <w:b/>
          <w:bCs/>
        </w:rPr>
        <w:t>6. Plan d'amélioration continue</w:t>
      </w:r>
    </w:p>
    <w:p w14:paraId="55DE959A" w14:textId="77777777" w:rsidR="0030569F" w:rsidRDefault="0030569F" w:rsidP="00A81A1A">
      <w:pPr>
        <w:spacing w:after="120" w:line="240" w:lineRule="auto"/>
      </w:pPr>
      <w:r>
        <w:t>6.1. Limites</w:t>
      </w:r>
    </w:p>
    <w:p w14:paraId="36D0D987" w14:textId="77777777" w:rsidR="007C61CD" w:rsidRDefault="007C61CD" w:rsidP="00A81A1A">
      <w:pPr>
        <w:spacing w:after="120" w:line="240" w:lineRule="auto"/>
      </w:pPr>
      <w:r>
        <w:t xml:space="preserve">6.1.1. De la démarche d'analyse </w:t>
      </w:r>
    </w:p>
    <w:p w14:paraId="4E5E11D2" w14:textId="0E0F7E9C" w:rsidR="00787047" w:rsidRDefault="00EB5EB1" w:rsidP="00EB5EB1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Disponibilités de la donnée</w:t>
      </w:r>
    </w:p>
    <w:p w14:paraId="4DFF795B" w14:textId="36419396" w:rsidR="00EB5EB1" w:rsidRDefault="00842DAA" w:rsidP="00EB5EB1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Ressources humaines et financières pour le déploiement </w:t>
      </w:r>
      <w:r w:rsidR="00654603">
        <w:rPr>
          <w:color w:val="002060"/>
        </w:rPr>
        <w:t xml:space="preserve">de stratégies SBT </w:t>
      </w:r>
      <w:r w:rsidR="00C82EEA">
        <w:rPr>
          <w:color w:val="002060"/>
        </w:rPr>
        <w:t>au sein de chacune de nos entreprises en portefeuilles</w:t>
      </w:r>
    </w:p>
    <w:p w14:paraId="09DE8174" w14:textId="77777777" w:rsidR="00787047" w:rsidRDefault="00787047" w:rsidP="00A81A1A">
      <w:pPr>
        <w:spacing w:after="120" w:line="240" w:lineRule="auto"/>
      </w:pPr>
    </w:p>
    <w:p w14:paraId="0535D0B6" w14:textId="77777777" w:rsidR="007C61CD" w:rsidRDefault="007C61CD" w:rsidP="00A81A1A">
      <w:pPr>
        <w:spacing w:after="120" w:line="240" w:lineRule="auto"/>
      </w:pPr>
      <w:r>
        <w:t>6.1.2. Des méthodes utilisées</w:t>
      </w:r>
    </w:p>
    <w:p w14:paraId="5A1FAD7F" w14:textId="232574F6" w:rsidR="00EC3FBE" w:rsidRDefault="00522762" w:rsidP="00EC3FBE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Disponibilité des technologies </w:t>
      </w:r>
      <w:r w:rsidR="008C08D9">
        <w:rPr>
          <w:color w:val="002060"/>
        </w:rPr>
        <w:t xml:space="preserve">de transition </w:t>
      </w:r>
      <w:r w:rsidR="00A43EDC">
        <w:rPr>
          <w:color w:val="002060"/>
        </w:rPr>
        <w:t xml:space="preserve">nécessaires </w:t>
      </w:r>
      <w:r w:rsidR="00675F25">
        <w:rPr>
          <w:color w:val="002060"/>
        </w:rPr>
        <w:t xml:space="preserve">à </w:t>
      </w:r>
      <w:r w:rsidR="008C08D9">
        <w:rPr>
          <w:color w:val="002060"/>
        </w:rPr>
        <w:t xml:space="preserve">l’atteinte </w:t>
      </w:r>
      <w:r w:rsidR="00062D52">
        <w:rPr>
          <w:color w:val="002060"/>
        </w:rPr>
        <w:t>de l’objectif 2°C</w:t>
      </w:r>
    </w:p>
    <w:p w14:paraId="35ED1E65" w14:textId="36740913" w:rsidR="00440799" w:rsidRDefault="00062D52" w:rsidP="00EC3FBE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Coupl</w:t>
      </w:r>
      <w:r w:rsidR="002A6B50">
        <w:rPr>
          <w:color w:val="002060"/>
        </w:rPr>
        <w:t>e</w:t>
      </w:r>
      <w:r w:rsidR="00CE66C9">
        <w:rPr>
          <w:color w:val="002060"/>
        </w:rPr>
        <w:t>s</w:t>
      </w:r>
      <w:r>
        <w:rPr>
          <w:color w:val="002060"/>
        </w:rPr>
        <w:t xml:space="preserve"> </w:t>
      </w:r>
      <w:r w:rsidR="00C41F36">
        <w:rPr>
          <w:color w:val="002060"/>
        </w:rPr>
        <w:t xml:space="preserve">rentabilité économique </w:t>
      </w:r>
      <w:r w:rsidR="00CE66C9">
        <w:rPr>
          <w:color w:val="002060"/>
        </w:rPr>
        <w:t>/</w:t>
      </w:r>
      <w:r w:rsidR="00C41F36">
        <w:rPr>
          <w:color w:val="002060"/>
        </w:rPr>
        <w:t xml:space="preserve"> transition </w:t>
      </w:r>
      <w:r w:rsidR="00CE66C9">
        <w:rPr>
          <w:color w:val="002060"/>
        </w:rPr>
        <w:t xml:space="preserve">énergétique et climatique à développer </w:t>
      </w:r>
    </w:p>
    <w:p w14:paraId="15483589" w14:textId="77777777" w:rsidR="00787047" w:rsidRDefault="00787047" w:rsidP="00A81A1A">
      <w:pPr>
        <w:spacing w:after="120" w:line="240" w:lineRule="auto"/>
      </w:pPr>
    </w:p>
    <w:p w14:paraId="3A2C6408" w14:textId="2E543265" w:rsidR="0030569F" w:rsidRDefault="007C61CD" w:rsidP="00A81A1A">
      <w:pPr>
        <w:spacing w:after="120" w:line="240" w:lineRule="auto"/>
      </w:pPr>
      <w:r>
        <w:t>6.1.3. De couverture</w:t>
      </w:r>
    </w:p>
    <w:p w14:paraId="2F70574C" w14:textId="70463484" w:rsidR="00DB23BE" w:rsidRPr="00147CB9" w:rsidRDefault="00DB23BE" w:rsidP="00147CB9">
      <w:pPr>
        <w:spacing w:after="120" w:line="240" w:lineRule="auto"/>
        <w:jc w:val="both"/>
        <w:rPr>
          <w:color w:val="002060"/>
        </w:rPr>
      </w:pPr>
      <w:r w:rsidRPr="00147CB9">
        <w:rPr>
          <w:color w:val="002060"/>
        </w:rPr>
        <w:t xml:space="preserve">Difficultés à correctement </w:t>
      </w:r>
      <w:r w:rsidR="00147CB9" w:rsidRPr="00147CB9">
        <w:rPr>
          <w:color w:val="002060"/>
        </w:rPr>
        <w:t>évaluer</w:t>
      </w:r>
      <w:r w:rsidRPr="00147CB9">
        <w:rPr>
          <w:color w:val="002060"/>
        </w:rPr>
        <w:t xml:space="preserve"> le scope 3 dans </w:t>
      </w:r>
      <w:r w:rsidR="00147CB9" w:rsidRPr="00147CB9">
        <w:rPr>
          <w:color w:val="002060"/>
        </w:rPr>
        <w:t>les trajectoires de réduction des émissions de GES</w:t>
      </w:r>
    </w:p>
    <w:p w14:paraId="5CE0A52E" w14:textId="77777777" w:rsidR="00E10A6E" w:rsidRDefault="00E10A6E" w:rsidP="00A81A1A">
      <w:pPr>
        <w:spacing w:after="120" w:line="240" w:lineRule="auto"/>
      </w:pPr>
    </w:p>
    <w:p w14:paraId="54066863" w14:textId="77777777" w:rsidR="0030569F" w:rsidRDefault="0030569F" w:rsidP="00A81A1A">
      <w:pPr>
        <w:spacing w:after="120" w:line="240" w:lineRule="auto"/>
      </w:pPr>
      <w:r>
        <w:t>6.2. Pistes d'amélioration</w:t>
      </w:r>
    </w:p>
    <w:p w14:paraId="59684C0E" w14:textId="77777777" w:rsidR="007C61CD" w:rsidRDefault="007C61CD" w:rsidP="00A81A1A">
      <w:pPr>
        <w:spacing w:after="120" w:line="240" w:lineRule="auto"/>
      </w:pPr>
      <w:r>
        <w:t xml:space="preserve">6.2.1. De la démarche </w:t>
      </w:r>
    </w:p>
    <w:p w14:paraId="579ADE1D" w14:textId="23C93332" w:rsidR="00F33B0E" w:rsidRPr="001B4EE7" w:rsidRDefault="00F33B0E" w:rsidP="00F33B0E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Formation des équipes</w:t>
      </w:r>
    </w:p>
    <w:p w14:paraId="6B47E243" w14:textId="3E034025" w:rsidR="00F33B0E" w:rsidRDefault="00F33B0E" w:rsidP="00F33B0E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lastRenderedPageBreak/>
        <w:t>Développement d’outils et de programme d’accompagnement dédiés</w:t>
      </w:r>
    </w:p>
    <w:p w14:paraId="3FC01B7A" w14:textId="66CD433C" w:rsidR="00F33B0E" w:rsidRDefault="00F33B0E" w:rsidP="00F33B0E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Mise en relation des entreprises des portefeuilles et de l’écosystème pour le développement </w:t>
      </w:r>
      <w:r w:rsidR="007144D4">
        <w:rPr>
          <w:color w:val="002060"/>
        </w:rPr>
        <w:t>de produits et services à faible intensité carbone</w:t>
      </w:r>
    </w:p>
    <w:p w14:paraId="5C9BAEC5" w14:textId="77777777" w:rsidR="00E10A6E" w:rsidRDefault="00E10A6E" w:rsidP="00A81A1A">
      <w:pPr>
        <w:spacing w:after="120" w:line="240" w:lineRule="auto"/>
      </w:pPr>
    </w:p>
    <w:p w14:paraId="113AA3FC" w14:textId="77777777" w:rsidR="007C61CD" w:rsidRDefault="007C61CD" w:rsidP="00A81A1A">
      <w:pPr>
        <w:spacing w:after="120" w:line="240" w:lineRule="auto"/>
      </w:pPr>
      <w:r>
        <w:t>6.2.2. Méthodologiques</w:t>
      </w:r>
    </w:p>
    <w:p w14:paraId="3C07600C" w14:textId="1EF3548B" w:rsidR="00E10A6E" w:rsidRDefault="00FB1C0C" w:rsidP="005A2C6F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Démarche de </w:t>
      </w:r>
      <w:r w:rsidR="005A2C6F">
        <w:rPr>
          <w:color w:val="002060"/>
        </w:rPr>
        <w:t xml:space="preserve">formation et de </w:t>
      </w:r>
      <w:r>
        <w:rPr>
          <w:color w:val="002060"/>
        </w:rPr>
        <w:t xml:space="preserve">prospection continue </w:t>
      </w:r>
      <w:r w:rsidR="005A2C6F">
        <w:rPr>
          <w:color w:val="002060"/>
        </w:rPr>
        <w:t>pour l’implémentation des meilleures pratiques mondiales en matière de lutte contre le changement climatique.</w:t>
      </w:r>
    </w:p>
    <w:p w14:paraId="01FC866D" w14:textId="77777777" w:rsidR="00E10A6E" w:rsidRDefault="00E10A6E" w:rsidP="00A81A1A">
      <w:pPr>
        <w:spacing w:after="120" w:line="240" w:lineRule="auto"/>
      </w:pPr>
    </w:p>
    <w:p w14:paraId="14DF83DF" w14:textId="11B1A76F" w:rsidR="0030569F" w:rsidRDefault="007C61CD" w:rsidP="00A81A1A">
      <w:pPr>
        <w:spacing w:after="120" w:line="240" w:lineRule="auto"/>
      </w:pPr>
      <w:r>
        <w:t>6.2.3. De couverture</w:t>
      </w:r>
    </w:p>
    <w:p w14:paraId="11EC47E9" w14:textId="77777777" w:rsidR="005A2C6F" w:rsidRDefault="005A2C6F" w:rsidP="005A2C6F">
      <w:pPr>
        <w:spacing w:after="120" w:line="240" w:lineRule="auto"/>
        <w:rPr>
          <w:color w:val="002060"/>
        </w:rPr>
      </w:pPr>
      <w:r>
        <w:rPr>
          <w:color w:val="002060"/>
        </w:rPr>
        <w:t>Taux de couverture et de pénétration de la démarche ESG et Climat activité par activité</w:t>
      </w:r>
    </w:p>
    <w:p w14:paraId="32E1BA35" w14:textId="77777777" w:rsidR="00E10A6E" w:rsidRDefault="00E10A6E" w:rsidP="00A81A1A">
      <w:pPr>
        <w:spacing w:after="120" w:line="240" w:lineRule="auto"/>
      </w:pPr>
    </w:p>
    <w:p w14:paraId="258DD93E" w14:textId="77777777" w:rsidR="007C61CD" w:rsidRDefault="007C61CD" w:rsidP="00A81A1A">
      <w:pPr>
        <w:spacing w:after="120" w:line="240" w:lineRule="auto"/>
      </w:pPr>
    </w:p>
    <w:p w14:paraId="53C547FD" w14:textId="14A49370" w:rsidR="007C61CD" w:rsidRDefault="004A71ED" w:rsidP="00A81A1A">
      <w:pPr>
        <w:spacing w:after="120" w:line="240" w:lineRule="auto"/>
        <w:rPr>
          <w:sz w:val="24"/>
          <w:szCs w:val="24"/>
        </w:rPr>
      </w:pPr>
      <w:r w:rsidRPr="004A71ED">
        <w:rPr>
          <w:b/>
          <w:bCs/>
          <w:sz w:val="24"/>
          <w:szCs w:val="24"/>
        </w:rPr>
        <w:t>Pilier IV | Transparence &amp; Communication</w:t>
      </w:r>
      <w:r>
        <w:rPr>
          <w:b/>
          <w:bCs/>
          <w:sz w:val="24"/>
          <w:szCs w:val="24"/>
        </w:rPr>
        <w:t xml:space="preserve"> : </w:t>
      </w:r>
      <w:r w:rsidRPr="004A71ED">
        <w:rPr>
          <w:b/>
          <w:bCs/>
          <w:sz w:val="24"/>
          <w:szCs w:val="24"/>
        </w:rPr>
        <w:t>Des enjeux climatiques aux bénéficiaires et clients</w:t>
      </w:r>
    </w:p>
    <w:p w14:paraId="5EEB8617" w14:textId="77777777" w:rsidR="0023231A" w:rsidRPr="0023231A" w:rsidRDefault="0023231A" w:rsidP="00A81A1A">
      <w:pPr>
        <w:spacing w:after="120" w:line="240" w:lineRule="auto"/>
        <w:rPr>
          <w:b/>
          <w:bCs/>
        </w:rPr>
      </w:pPr>
      <w:r w:rsidRPr="0023231A">
        <w:rPr>
          <w:b/>
          <w:bCs/>
        </w:rPr>
        <w:t>1. Format et efforts de présentation de l'exercice</w:t>
      </w:r>
    </w:p>
    <w:p w14:paraId="0C841266" w14:textId="77777777" w:rsidR="0023231A" w:rsidRDefault="0023231A" w:rsidP="00A81A1A">
      <w:pPr>
        <w:spacing w:after="120" w:line="240" w:lineRule="auto"/>
      </w:pPr>
      <w:r>
        <w:t>1.1 Consolidation des informations relatives au climat</w:t>
      </w:r>
    </w:p>
    <w:p w14:paraId="2163828D" w14:textId="41C29810" w:rsidR="0030569F" w:rsidRDefault="0023231A" w:rsidP="00A81A1A">
      <w:pPr>
        <w:spacing w:after="120" w:line="240" w:lineRule="auto"/>
      </w:pPr>
      <w:r>
        <w:t>1.1.1 Forme du rapport</w:t>
      </w:r>
    </w:p>
    <w:p w14:paraId="05913C9B" w14:textId="7BDEE2C6" w:rsidR="00277D47" w:rsidRDefault="00277D47" w:rsidP="00A81A1A">
      <w:pPr>
        <w:spacing w:after="120" w:line="240" w:lineRule="auto"/>
        <w:rPr>
          <w:color w:val="002060"/>
        </w:rPr>
      </w:pPr>
      <w:r w:rsidRPr="00277D47">
        <w:rPr>
          <w:color w:val="002060"/>
        </w:rPr>
        <w:t xml:space="preserve">Les informations relatives au </w:t>
      </w:r>
      <w:r>
        <w:rPr>
          <w:color w:val="002060"/>
        </w:rPr>
        <w:t>C</w:t>
      </w:r>
      <w:r w:rsidRPr="00277D47">
        <w:rPr>
          <w:color w:val="002060"/>
        </w:rPr>
        <w:t>limat sont présentées</w:t>
      </w:r>
      <w:r>
        <w:rPr>
          <w:color w:val="002060"/>
        </w:rPr>
        <w:t> :</w:t>
      </w:r>
    </w:p>
    <w:p w14:paraId="4CC701F0" w14:textId="59F81077" w:rsidR="00E10A6E" w:rsidRDefault="00277D47" w:rsidP="00277D4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proofErr w:type="gramStart"/>
      <w:r w:rsidRPr="00277D47">
        <w:rPr>
          <w:color w:val="002060"/>
        </w:rPr>
        <w:t>dans</w:t>
      </w:r>
      <w:proofErr w:type="gramEnd"/>
      <w:r w:rsidRPr="00277D47">
        <w:rPr>
          <w:color w:val="002060"/>
        </w:rPr>
        <w:t xml:space="preserve"> </w:t>
      </w:r>
      <w:r>
        <w:rPr>
          <w:color w:val="002060"/>
        </w:rPr>
        <w:t>le</w:t>
      </w:r>
      <w:r w:rsidRPr="00277D47">
        <w:rPr>
          <w:color w:val="002060"/>
        </w:rPr>
        <w:t xml:space="preserve"> rapport </w:t>
      </w:r>
      <w:r>
        <w:rPr>
          <w:color w:val="002060"/>
        </w:rPr>
        <w:t xml:space="preserve">annuel </w:t>
      </w:r>
      <w:r w:rsidRPr="00277D47">
        <w:rPr>
          <w:color w:val="002060"/>
        </w:rPr>
        <w:t>ESG</w:t>
      </w:r>
      <w:r>
        <w:rPr>
          <w:color w:val="002060"/>
        </w:rPr>
        <w:t xml:space="preserve"> du Groupe Siparex</w:t>
      </w:r>
    </w:p>
    <w:p w14:paraId="3E2AA007" w14:textId="3FB1501A" w:rsidR="00277D47" w:rsidRDefault="00277D47" w:rsidP="00277D4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proofErr w:type="gramStart"/>
      <w:r>
        <w:rPr>
          <w:color w:val="002060"/>
        </w:rPr>
        <w:t>dans</w:t>
      </w:r>
      <w:proofErr w:type="gramEnd"/>
      <w:r>
        <w:rPr>
          <w:color w:val="002060"/>
        </w:rPr>
        <w:t xml:space="preserve"> les rapports annuels ESG des Fonds gérés par le Groupe</w:t>
      </w:r>
    </w:p>
    <w:p w14:paraId="050E895F" w14:textId="22B0B004" w:rsidR="00277D47" w:rsidRDefault="00277D47" w:rsidP="00277D4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proofErr w:type="gramStart"/>
      <w:r>
        <w:rPr>
          <w:color w:val="002060"/>
        </w:rPr>
        <w:t>dans</w:t>
      </w:r>
      <w:proofErr w:type="gramEnd"/>
      <w:r>
        <w:rPr>
          <w:color w:val="002060"/>
        </w:rPr>
        <w:t xml:space="preserve"> les </w:t>
      </w:r>
      <w:proofErr w:type="spellStart"/>
      <w:r>
        <w:rPr>
          <w:color w:val="002060"/>
        </w:rPr>
        <w:t>reportings</w:t>
      </w:r>
      <w:proofErr w:type="spellEnd"/>
      <w:r>
        <w:rPr>
          <w:color w:val="002060"/>
        </w:rPr>
        <w:t xml:space="preserve"> ESG et Climat spécifiques commandés par nos clients</w:t>
      </w:r>
    </w:p>
    <w:p w14:paraId="69CF3B4F" w14:textId="77777777" w:rsidR="00277D47" w:rsidRDefault="00277D47" w:rsidP="00A81A1A">
      <w:pPr>
        <w:spacing w:after="120" w:line="240" w:lineRule="auto"/>
      </w:pPr>
    </w:p>
    <w:p w14:paraId="6AC04FAB" w14:textId="3D3B90B0" w:rsidR="0023231A" w:rsidRDefault="0023231A" w:rsidP="00A81A1A">
      <w:pPr>
        <w:spacing w:after="120" w:line="240" w:lineRule="auto"/>
      </w:pPr>
      <w:r w:rsidRPr="0023231A">
        <w:t>1.1.2 Rapport par fonds</w:t>
      </w:r>
    </w:p>
    <w:p w14:paraId="2F8A202C" w14:textId="3B321F11" w:rsidR="00E10A6E" w:rsidRDefault="00450C09" w:rsidP="00A81A1A">
      <w:pPr>
        <w:spacing w:after="120" w:line="240" w:lineRule="auto"/>
        <w:rPr>
          <w:color w:val="002060"/>
        </w:rPr>
      </w:pPr>
      <w:r>
        <w:rPr>
          <w:color w:val="002060"/>
        </w:rPr>
        <w:t xml:space="preserve">L’ensemble de nos </w:t>
      </w:r>
      <w:r w:rsidR="00927F4B">
        <w:rPr>
          <w:color w:val="002060"/>
        </w:rPr>
        <w:t>f</w:t>
      </w:r>
      <w:r>
        <w:rPr>
          <w:color w:val="002060"/>
        </w:rPr>
        <w:t xml:space="preserve">onds </w:t>
      </w:r>
      <w:r w:rsidR="00927F4B">
        <w:rPr>
          <w:color w:val="002060"/>
        </w:rPr>
        <w:t xml:space="preserve">sous gestion </w:t>
      </w:r>
      <w:r>
        <w:rPr>
          <w:color w:val="002060"/>
        </w:rPr>
        <w:t xml:space="preserve">dits article 8 et article 9 au sens de SFDR communiquent à leurs clients un rapport annuel ESG, non spécifique au Climat mais </w:t>
      </w:r>
      <w:r w:rsidR="008F5CB2">
        <w:rPr>
          <w:color w:val="002060"/>
        </w:rPr>
        <w:t>conforme aux exigences de la SFDR et de l’article 29 de la Loi Energie Climat.</w:t>
      </w:r>
    </w:p>
    <w:p w14:paraId="3B046007" w14:textId="5DF9DA8A" w:rsidR="008F5CB2" w:rsidRDefault="00D22380" w:rsidP="00D22380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Cela est également vrai pour l’ensemble des fonds sous gestion classifiés article 6 au sens de SFDR par défaut car créés </w:t>
      </w:r>
      <w:r w:rsidR="00927F4B">
        <w:rPr>
          <w:color w:val="002060"/>
        </w:rPr>
        <w:t>entre 2011 et 2021.</w:t>
      </w:r>
    </w:p>
    <w:p w14:paraId="458784E6" w14:textId="77777777" w:rsidR="0023231A" w:rsidRDefault="0023231A" w:rsidP="00A81A1A">
      <w:pPr>
        <w:spacing w:after="120" w:line="240" w:lineRule="auto"/>
      </w:pPr>
    </w:p>
    <w:p w14:paraId="486A7321" w14:textId="77777777" w:rsidR="00460225" w:rsidRDefault="00460225" w:rsidP="00A81A1A">
      <w:pPr>
        <w:spacing w:after="120" w:line="240" w:lineRule="auto"/>
      </w:pPr>
      <w:r>
        <w:t>1.2 Structure de publication des informations</w:t>
      </w:r>
    </w:p>
    <w:p w14:paraId="32315C82" w14:textId="77777777" w:rsidR="006A5F07" w:rsidRDefault="006A5F07" w:rsidP="00A81A1A">
      <w:pPr>
        <w:spacing w:after="120" w:line="240" w:lineRule="auto"/>
      </w:pPr>
      <w:r>
        <w:t xml:space="preserve">1.2.1 Plan type </w:t>
      </w:r>
    </w:p>
    <w:p w14:paraId="21FCA3D8" w14:textId="729C7E33" w:rsidR="00E10A6E" w:rsidRDefault="00E100F3" w:rsidP="003A1DDE">
      <w:pPr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Le </w:t>
      </w:r>
      <w:r w:rsidR="00E019E7" w:rsidRPr="00E019E7">
        <w:rPr>
          <w:color w:val="002060"/>
        </w:rPr>
        <w:t xml:space="preserve">rapport annuel ESG </w:t>
      </w:r>
      <w:r w:rsidRPr="00E019E7">
        <w:rPr>
          <w:color w:val="002060"/>
        </w:rPr>
        <w:t>2021</w:t>
      </w:r>
      <w:r>
        <w:rPr>
          <w:color w:val="002060"/>
        </w:rPr>
        <w:t xml:space="preserve"> du </w:t>
      </w:r>
      <w:r w:rsidR="00E019E7" w:rsidRPr="00E019E7">
        <w:rPr>
          <w:color w:val="002060"/>
        </w:rPr>
        <w:t>Groupe</w:t>
      </w:r>
      <w:r>
        <w:rPr>
          <w:color w:val="002060"/>
        </w:rPr>
        <w:t xml:space="preserve"> Siparex intégrant les </w:t>
      </w:r>
      <w:r w:rsidR="00245AD9">
        <w:rPr>
          <w:color w:val="002060"/>
        </w:rPr>
        <w:t xml:space="preserve">dispositions de l’article 29 de la Loi Energie Climat </w:t>
      </w:r>
      <w:r w:rsidR="00D80993">
        <w:rPr>
          <w:color w:val="002060"/>
        </w:rPr>
        <w:t>sera publié sur le site web du Groupe Siparex en août 2021 (</w:t>
      </w:r>
      <w:hyperlink r:id="rId12" w:history="1">
        <w:r w:rsidR="00C82B46" w:rsidRPr="003C4DE6">
          <w:rPr>
            <w:rStyle w:val="Lienhypertexte"/>
          </w:rPr>
          <w:t>www.siparex.com/investisseur-responsable</w:t>
        </w:r>
      </w:hyperlink>
      <w:r w:rsidR="00C82B46">
        <w:rPr>
          <w:color w:val="002060"/>
        </w:rPr>
        <w:t>)</w:t>
      </w:r>
      <w:r w:rsidR="00E019E7" w:rsidRPr="00E019E7">
        <w:rPr>
          <w:color w:val="002060"/>
        </w:rPr>
        <w:t>.</w:t>
      </w:r>
    </w:p>
    <w:p w14:paraId="16361B7F" w14:textId="77777777" w:rsidR="003A1DDE" w:rsidRDefault="003A1DDE" w:rsidP="00A81A1A">
      <w:pPr>
        <w:spacing w:after="120" w:line="240" w:lineRule="auto"/>
      </w:pPr>
    </w:p>
    <w:p w14:paraId="269113D5" w14:textId="2AB6C078" w:rsidR="00460225" w:rsidRDefault="006A5F07" w:rsidP="00A81A1A">
      <w:pPr>
        <w:spacing w:after="120" w:line="240" w:lineRule="auto"/>
      </w:pPr>
      <w:r>
        <w:t>1.2.2 Table de concordance</w:t>
      </w:r>
    </w:p>
    <w:p w14:paraId="7F867284" w14:textId="19F99B6B" w:rsidR="00E10A6E" w:rsidRDefault="00C82B46" w:rsidP="00A81A1A">
      <w:pPr>
        <w:spacing w:after="120" w:line="240" w:lineRule="auto"/>
        <w:rPr>
          <w:color w:val="002060"/>
        </w:rPr>
      </w:pPr>
      <w:r>
        <w:rPr>
          <w:color w:val="002060"/>
        </w:rPr>
        <w:t>Non applicable</w:t>
      </w:r>
    </w:p>
    <w:p w14:paraId="14CF09A1" w14:textId="77777777" w:rsidR="006A5F07" w:rsidRDefault="006A5F07" w:rsidP="00A81A1A">
      <w:pPr>
        <w:spacing w:after="120" w:line="240" w:lineRule="auto"/>
      </w:pPr>
    </w:p>
    <w:p w14:paraId="0160E173" w14:textId="77777777" w:rsidR="006A5F07" w:rsidRPr="006A5F07" w:rsidRDefault="006A5F07" w:rsidP="00A81A1A">
      <w:pPr>
        <w:spacing w:after="120" w:line="240" w:lineRule="auto"/>
        <w:rPr>
          <w:b/>
          <w:bCs/>
        </w:rPr>
      </w:pPr>
      <w:r w:rsidRPr="006A5F07">
        <w:rPr>
          <w:b/>
          <w:bCs/>
        </w:rPr>
        <w:lastRenderedPageBreak/>
        <w:t>2. Communication sur le climat</w:t>
      </w:r>
    </w:p>
    <w:p w14:paraId="6A776DCE" w14:textId="77777777" w:rsidR="001E7ED8" w:rsidRDefault="001E7ED8" w:rsidP="00A81A1A">
      <w:pPr>
        <w:spacing w:after="120" w:line="240" w:lineRule="auto"/>
      </w:pPr>
      <w:r>
        <w:t>2.1. Stratégie de communication (relative au climat)</w:t>
      </w:r>
    </w:p>
    <w:p w14:paraId="669039FA" w14:textId="77777777" w:rsidR="001E7ED8" w:rsidRDefault="001E7ED8" w:rsidP="00A81A1A">
      <w:pPr>
        <w:spacing w:after="120" w:line="240" w:lineRule="auto"/>
      </w:pPr>
      <w:r>
        <w:t>2.2.1. Stratégie de communication</w:t>
      </w:r>
    </w:p>
    <w:p w14:paraId="3B37F5D8" w14:textId="121A0A9D" w:rsidR="00947ACE" w:rsidRDefault="00947ACE" w:rsidP="00947ACE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Membre actif </w:t>
      </w:r>
      <w:r w:rsidR="008A4A5C">
        <w:rPr>
          <w:color w:val="002060"/>
        </w:rPr>
        <w:t>i) des</w:t>
      </w:r>
      <w:r w:rsidR="008A4A5C" w:rsidRPr="008A4A5C">
        <w:rPr>
          <w:color w:val="002060"/>
        </w:rPr>
        <w:t xml:space="preserve"> Commission</w:t>
      </w:r>
      <w:r w:rsidR="008A4A5C">
        <w:rPr>
          <w:color w:val="002060"/>
        </w:rPr>
        <w:t>s</w:t>
      </w:r>
      <w:r w:rsidR="008A4A5C" w:rsidRPr="008A4A5C">
        <w:rPr>
          <w:color w:val="002060"/>
        </w:rPr>
        <w:t xml:space="preserve"> </w:t>
      </w:r>
      <w:proofErr w:type="spellStart"/>
      <w:r w:rsidR="008A4A5C" w:rsidRPr="008A4A5C">
        <w:rPr>
          <w:color w:val="002060"/>
        </w:rPr>
        <w:t>Sustainability</w:t>
      </w:r>
      <w:proofErr w:type="spellEnd"/>
      <w:r w:rsidR="008A4A5C" w:rsidRPr="008A4A5C">
        <w:rPr>
          <w:color w:val="002060"/>
        </w:rPr>
        <w:t xml:space="preserve"> et Transition Ecologique de France Invest, ii) </w:t>
      </w:r>
      <w:r w:rsidR="008A4A5C">
        <w:rPr>
          <w:color w:val="002060"/>
        </w:rPr>
        <w:t xml:space="preserve">de </w:t>
      </w:r>
      <w:r w:rsidR="008A4A5C" w:rsidRPr="008A4A5C">
        <w:rPr>
          <w:color w:val="002060"/>
        </w:rPr>
        <w:t xml:space="preserve">la </w:t>
      </w:r>
      <w:proofErr w:type="spellStart"/>
      <w:r w:rsidR="008A4A5C" w:rsidRPr="008A4A5C">
        <w:rPr>
          <w:color w:val="002060"/>
        </w:rPr>
        <w:t>Task</w:t>
      </w:r>
      <w:proofErr w:type="spellEnd"/>
      <w:r w:rsidR="008A4A5C" w:rsidRPr="008A4A5C">
        <w:rPr>
          <w:color w:val="002060"/>
        </w:rPr>
        <w:t xml:space="preserve"> Force sur le prix du carbone, iii) </w:t>
      </w:r>
      <w:r w:rsidR="008A4A5C">
        <w:rPr>
          <w:color w:val="002060"/>
        </w:rPr>
        <w:t xml:space="preserve">de </w:t>
      </w:r>
      <w:r w:rsidR="008A4A5C" w:rsidRPr="008A4A5C">
        <w:rPr>
          <w:color w:val="002060"/>
        </w:rPr>
        <w:t>l’Initiative Climat International.</w:t>
      </w:r>
    </w:p>
    <w:p w14:paraId="597C3937" w14:textId="7090C6BC" w:rsidR="003F2DD3" w:rsidRPr="000C7807" w:rsidRDefault="003F2DD3" w:rsidP="000C7807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Communication sur le site web du Groupe Siparex et sur les réseaux sociaux des engagements Climat du Groupe</w:t>
      </w:r>
    </w:p>
    <w:p w14:paraId="5F01E0ED" w14:textId="77777777" w:rsidR="00E10A6E" w:rsidRDefault="00E10A6E" w:rsidP="00A81A1A">
      <w:pPr>
        <w:spacing w:after="120" w:line="240" w:lineRule="auto"/>
      </w:pPr>
    </w:p>
    <w:p w14:paraId="55B8B1AB" w14:textId="460D1EE9" w:rsidR="006A5F07" w:rsidRDefault="001E7ED8" w:rsidP="00A81A1A">
      <w:pPr>
        <w:spacing w:after="120" w:line="240" w:lineRule="auto"/>
      </w:pPr>
      <w:r>
        <w:t>2.2.2. Leviers de communication</w:t>
      </w:r>
    </w:p>
    <w:p w14:paraId="57A43A88" w14:textId="77777777" w:rsidR="00281524" w:rsidRDefault="00281524" w:rsidP="00281524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Membre actif i) des</w:t>
      </w:r>
      <w:r w:rsidRPr="008A4A5C">
        <w:rPr>
          <w:color w:val="002060"/>
        </w:rPr>
        <w:t xml:space="preserve"> Commission</w:t>
      </w:r>
      <w:r>
        <w:rPr>
          <w:color w:val="002060"/>
        </w:rPr>
        <w:t>s</w:t>
      </w:r>
      <w:r w:rsidRPr="008A4A5C">
        <w:rPr>
          <w:color w:val="002060"/>
        </w:rPr>
        <w:t xml:space="preserve"> </w:t>
      </w:r>
      <w:proofErr w:type="spellStart"/>
      <w:r w:rsidRPr="008A4A5C">
        <w:rPr>
          <w:color w:val="002060"/>
        </w:rPr>
        <w:t>Sustainability</w:t>
      </w:r>
      <w:proofErr w:type="spellEnd"/>
      <w:r w:rsidRPr="008A4A5C">
        <w:rPr>
          <w:color w:val="002060"/>
        </w:rPr>
        <w:t xml:space="preserve"> et Transition Ecologique de France Invest, ii) </w:t>
      </w:r>
      <w:r>
        <w:rPr>
          <w:color w:val="002060"/>
        </w:rPr>
        <w:t xml:space="preserve">de </w:t>
      </w:r>
      <w:r w:rsidRPr="008A4A5C">
        <w:rPr>
          <w:color w:val="002060"/>
        </w:rPr>
        <w:t xml:space="preserve">la </w:t>
      </w:r>
      <w:proofErr w:type="spellStart"/>
      <w:r w:rsidRPr="008A4A5C">
        <w:rPr>
          <w:color w:val="002060"/>
        </w:rPr>
        <w:t>Task</w:t>
      </w:r>
      <w:proofErr w:type="spellEnd"/>
      <w:r w:rsidRPr="008A4A5C">
        <w:rPr>
          <w:color w:val="002060"/>
        </w:rPr>
        <w:t xml:space="preserve"> Force sur le prix du carbone, iii) </w:t>
      </w:r>
      <w:r>
        <w:rPr>
          <w:color w:val="002060"/>
        </w:rPr>
        <w:t xml:space="preserve">de </w:t>
      </w:r>
      <w:r w:rsidRPr="008A4A5C">
        <w:rPr>
          <w:color w:val="002060"/>
        </w:rPr>
        <w:t>l’Initiative Climat International.</w:t>
      </w:r>
    </w:p>
    <w:p w14:paraId="52665C28" w14:textId="77777777" w:rsidR="00281524" w:rsidRPr="000C7807" w:rsidRDefault="00281524" w:rsidP="00281524">
      <w:pPr>
        <w:pStyle w:val="Paragraphedeliste"/>
        <w:numPr>
          <w:ilvl w:val="0"/>
          <w:numId w:val="16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Communication sur le site web du Groupe Siparex et sur les réseaux sociaux des engagements Climat du Groupe</w:t>
      </w:r>
    </w:p>
    <w:p w14:paraId="0363A3DA" w14:textId="77777777" w:rsidR="00EA655E" w:rsidRDefault="00EA655E" w:rsidP="00A81A1A">
      <w:pPr>
        <w:spacing w:after="120" w:line="240" w:lineRule="auto"/>
      </w:pPr>
    </w:p>
    <w:p w14:paraId="4B7C35CB" w14:textId="77777777" w:rsidR="00EA655E" w:rsidRDefault="00EA655E" w:rsidP="00A81A1A">
      <w:pPr>
        <w:spacing w:after="120" w:line="240" w:lineRule="auto"/>
      </w:pPr>
      <w:r>
        <w:t>2.2. Conseils financiers sur les produits et services relatifs au climat</w:t>
      </w:r>
    </w:p>
    <w:p w14:paraId="19A12CE5" w14:textId="77777777" w:rsidR="00787047" w:rsidRDefault="00787047" w:rsidP="00A81A1A">
      <w:pPr>
        <w:spacing w:after="120" w:line="240" w:lineRule="auto"/>
      </w:pPr>
      <w:r>
        <w:t>2.2.1. Relation client</w:t>
      </w:r>
    </w:p>
    <w:p w14:paraId="4FC0670B" w14:textId="77777777" w:rsidR="00281524" w:rsidRDefault="00281524" w:rsidP="00281524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Prise en compte des enjeux climatiques et intégration d’objectifs climat dans la structuration de l’ensemble de nos nouveaux véhicules d’investissement.</w:t>
      </w:r>
    </w:p>
    <w:p w14:paraId="1B389077" w14:textId="77777777" w:rsidR="00281524" w:rsidRDefault="00281524" w:rsidP="00281524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Programme de formation aux enjeux du changement climatique pour l’ensemble des collaborateurs du Groupe prévu en 2022.</w:t>
      </w:r>
    </w:p>
    <w:p w14:paraId="7B16842F" w14:textId="77777777" w:rsidR="00E10A6E" w:rsidRDefault="00E10A6E" w:rsidP="00A81A1A">
      <w:pPr>
        <w:spacing w:after="120" w:line="240" w:lineRule="auto"/>
      </w:pPr>
    </w:p>
    <w:p w14:paraId="5743FBDF" w14:textId="1870C19B" w:rsidR="00787047" w:rsidRDefault="00787047" w:rsidP="00A81A1A">
      <w:pPr>
        <w:spacing w:after="120" w:line="240" w:lineRule="auto"/>
      </w:pPr>
      <w:r>
        <w:t>2.2.2. Connaissance de la préf</w:t>
      </w:r>
      <w:r w:rsidR="00E10A6E">
        <w:t>é</w:t>
      </w:r>
      <w:r>
        <w:t>rence des clients</w:t>
      </w:r>
    </w:p>
    <w:p w14:paraId="56DB9742" w14:textId="77777777" w:rsidR="00147C44" w:rsidRDefault="00147C44" w:rsidP="00A81A1A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Prise en compte des enjeux climatiques et intégration d’objectifs climat dans la structuration de l’ensemble de nos nouveaux véhicules d’investissement.</w:t>
      </w:r>
    </w:p>
    <w:p w14:paraId="3B3F9A3F" w14:textId="7BD91FFC" w:rsidR="00E10A6E" w:rsidRPr="00147C44" w:rsidRDefault="00147C44" w:rsidP="00A81A1A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  <w:rPr>
          <w:color w:val="002060"/>
        </w:rPr>
      </w:pPr>
      <w:r w:rsidRPr="00147C44">
        <w:rPr>
          <w:color w:val="002060"/>
        </w:rPr>
        <w:t xml:space="preserve">Mise en conformité </w:t>
      </w:r>
      <w:r>
        <w:rPr>
          <w:color w:val="002060"/>
        </w:rPr>
        <w:t xml:space="preserve">de la documentation commerciale des produits nouveaux et du questionnaire d’adéquation avec </w:t>
      </w:r>
      <w:r w:rsidR="00D9452D">
        <w:rPr>
          <w:color w:val="002060"/>
        </w:rPr>
        <w:t xml:space="preserve">la </w:t>
      </w:r>
      <w:r w:rsidR="001566C2">
        <w:rPr>
          <w:color w:val="002060"/>
        </w:rPr>
        <w:t>Directive</w:t>
      </w:r>
      <w:r w:rsidR="00D9452D">
        <w:rPr>
          <w:color w:val="002060"/>
        </w:rPr>
        <w:t xml:space="preserve"> MIF</w:t>
      </w:r>
    </w:p>
    <w:p w14:paraId="37EC492C" w14:textId="77777777" w:rsidR="00147C44" w:rsidRDefault="00147C44" w:rsidP="00A81A1A">
      <w:pPr>
        <w:spacing w:after="120" w:line="240" w:lineRule="auto"/>
      </w:pPr>
    </w:p>
    <w:p w14:paraId="0EC85AE6" w14:textId="66227A11" w:rsidR="00EA655E" w:rsidRDefault="00787047" w:rsidP="00A81A1A">
      <w:pPr>
        <w:spacing w:after="120" w:line="240" w:lineRule="auto"/>
      </w:pPr>
      <w:r>
        <w:t>2.2.3. Transparence des produits et services</w:t>
      </w:r>
    </w:p>
    <w:p w14:paraId="36E3FA63" w14:textId="7733A46E" w:rsidR="00E10A6E" w:rsidRDefault="00182C26" w:rsidP="00537325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 xml:space="preserve">Conformité avec la règlementation </w:t>
      </w:r>
      <w:r w:rsidR="00E77016">
        <w:rPr>
          <w:color w:val="002060"/>
        </w:rPr>
        <w:t>SFDR et la position recommandation 2020-03 de l’AMF le cas échéant</w:t>
      </w:r>
      <w:r w:rsidR="00537325">
        <w:rPr>
          <w:color w:val="002060"/>
        </w:rPr>
        <w:t>.</w:t>
      </w:r>
    </w:p>
    <w:p w14:paraId="692A0911" w14:textId="5B834805" w:rsidR="00537325" w:rsidRDefault="00537325" w:rsidP="00537325">
      <w:pPr>
        <w:pStyle w:val="Paragraphedeliste"/>
        <w:numPr>
          <w:ilvl w:val="0"/>
          <w:numId w:val="17"/>
        </w:numPr>
        <w:spacing w:after="120" w:line="240" w:lineRule="auto"/>
        <w:contextualSpacing w:val="0"/>
        <w:jc w:val="both"/>
        <w:rPr>
          <w:color w:val="002060"/>
        </w:rPr>
      </w:pPr>
      <w:r>
        <w:rPr>
          <w:color w:val="002060"/>
        </w:rPr>
        <w:t>Description précise dans la documentation marketing et la documentation précontractuelle de la stratégie Climat (moyens et objectifs Climat).</w:t>
      </w:r>
    </w:p>
    <w:p w14:paraId="63096EEC" w14:textId="77777777" w:rsidR="00E10A6E" w:rsidRDefault="00E10A6E" w:rsidP="00A81A1A">
      <w:pPr>
        <w:spacing w:after="120" w:line="240" w:lineRule="auto"/>
      </w:pPr>
    </w:p>
    <w:p w14:paraId="70458A9F" w14:textId="77777777" w:rsidR="00E10A6E" w:rsidRPr="0030569F" w:rsidRDefault="00E10A6E" w:rsidP="00A81A1A">
      <w:pPr>
        <w:spacing w:after="120" w:line="240" w:lineRule="auto"/>
      </w:pPr>
    </w:p>
    <w:sectPr w:rsidR="00E10A6E" w:rsidRPr="0030569F" w:rsidSect="00537325">
      <w:headerReference w:type="defaul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2CD7" w14:textId="77777777" w:rsidR="00537325" w:rsidRDefault="00537325" w:rsidP="00537325">
      <w:pPr>
        <w:spacing w:after="0" w:line="240" w:lineRule="auto"/>
      </w:pPr>
      <w:r>
        <w:separator/>
      </w:r>
    </w:p>
  </w:endnote>
  <w:endnote w:type="continuationSeparator" w:id="0">
    <w:p w14:paraId="78BCFBB8" w14:textId="77777777" w:rsidR="00537325" w:rsidRDefault="00537325" w:rsidP="0053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loo Thambi 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7FF1" w14:textId="77777777" w:rsidR="00537325" w:rsidRDefault="00537325" w:rsidP="00537325">
      <w:pPr>
        <w:spacing w:after="0" w:line="240" w:lineRule="auto"/>
      </w:pPr>
      <w:r>
        <w:separator/>
      </w:r>
    </w:p>
  </w:footnote>
  <w:footnote w:type="continuationSeparator" w:id="0">
    <w:p w14:paraId="4D2FEEF2" w14:textId="77777777" w:rsidR="00537325" w:rsidRDefault="00537325" w:rsidP="0053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39D" w14:textId="1CEB6938" w:rsidR="00537325" w:rsidRDefault="00537325">
    <w:pPr>
      <w:pStyle w:val="En-tte"/>
    </w:pPr>
    <w:r>
      <w:rPr>
        <w:noProof/>
      </w:rPr>
      <w:drawing>
        <wp:inline distT="0" distB="0" distL="0" distR="0" wp14:anchorId="4BA6F2B8" wp14:editId="3D0E9707">
          <wp:extent cx="1242204" cy="403935"/>
          <wp:effectExtent l="0" t="0" r="0" b="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93" cy="409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DD"/>
    <w:multiLevelType w:val="hybridMultilevel"/>
    <w:tmpl w:val="246835BA"/>
    <w:lvl w:ilvl="0" w:tplc="687822C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›"/>
      <w:lvlJc w:val="left"/>
      <w:pPr>
        <w:ind w:left="1080" w:hanging="360"/>
      </w:pPr>
      <w:rPr>
        <w:rFonts w:ascii="Gill Sans MT" w:hAnsi="Gill Sans MT" w:hint="default"/>
      </w:rPr>
    </w:lvl>
    <w:lvl w:ilvl="2" w:tplc="FFFFFFFF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D26B1"/>
    <w:multiLevelType w:val="hybridMultilevel"/>
    <w:tmpl w:val="01E882AA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A6F35"/>
    <w:multiLevelType w:val="hybridMultilevel"/>
    <w:tmpl w:val="96C47AA4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›"/>
      <w:lvlJc w:val="left"/>
      <w:pPr>
        <w:ind w:left="1800" w:hanging="360"/>
      </w:pPr>
      <w:rPr>
        <w:rFonts w:ascii="Gill Sans MT" w:hAnsi="Gill Sans MT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D755C"/>
    <w:multiLevelType w:val="hybridMultilevel"/>
    <w:tmpl w:val="221E2F16"/>
    <w:lvl w:ilvl="0" w:tplc="99946C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99946CC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06810"/>
    <w:multiLevelType w:val="hybridMultilevel"/>
    <w:tmpl w:val="D638DDC6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A0CF5"/>
    <w:multiLevelType w:val="hybridMultilevel"/>
    <w:tmpl w:val="93862742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2584D"/>
    <w:multiLevelType w:val="hybridMultilevel"/>
    <w:tmpl w:val="34028ED6"/>
    <w:lvl w:ilvl="0" w:tplc="687822C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CC0EB1"/>
    <w:multiLevelType w:val="hybridMultilevel"/>
    <w:tmpl w:val="4B964D0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›"/>
      <w:lvlJc w:val="left"/>
      <w:pPr>
        <w:ind w:left="1800" w:hanging="360"/>
      </w:pPr>
      <w:rPr>
        <w:rFonts w:ascii="Gill Sans MT" w:hAnsi="Gill Sans MT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6602D"/>
    <w:multiLevelType w:val="hybridMultilevel"/>
    <w:tmpl w:val="C35AF774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32F7C"/>
    <w:multiLevelType w:val="hybridMultilevel"/>
    <w:tmpl w:val="1518BE7A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FFFFFFFF">
      <w:start w:val="1"/>
      <w:numFmt w:val="bullet"/>
      <w:lvlText w:val="›"/>
      <w:lvlJc w:val="left"/>
      <w:pPr>
        <w:ind w:left="1080" w:hanging="360"/>
      </w:pPr>
      <w:rPr>
        <w:rFonts w:ascii="Gill Sans MT" w:hAnsi="Gill Sans MT" w:hint="default"/>
      </w:rPr>
    </w:lvl>
    <w:lvl w:ilvl="2" w:tplc="99946CC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72D3F"/>
    <w:multiLevelType w:val="hybridMultilevel"/>
    <w:tmpl w:val="2556BD02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127EE"/>
    <w:multiLevelType w:val="hybridMultilevel"/>
    <w:tmpl w:val="50760E58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›"/>
      <w:lvlJc w:val="left"/>
      <w:pPr>
        <w:ind w:left="1800" w:hanging="360"/>
      </w:pPr>
      <w:rPr>
        <w:rFonts w:ascii="Gill Sans MT" w:hAnsi="Gill Sans MT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C4F19"/>
    <w:multiLevelType w:val="hybridMultilevel"/>
    <w:tmpl w:val="6A86F4BA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F42A3"/>
    <w:multiLevelType w:val="hybridMultilevel"/>
    <w:tmpl w:val="325A24CE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95BC2"/>
    <w:multiLevelType w:val="hybridMultilevel"/>
    <w:tmpl w:val="E76818C4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B4EF2"/>
    <w:multiLevelType w:val="hybridMultilevel"/>
    <w:tmpl w:val="DD2C88D2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A76AC"/>
    <w:multiLevelType w:val="hybridMultilevel"/>
    <w:tmpl w:val="FE26AECA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430252">
    <w:abstractNumId w:val="3"/>
  </w:num>
  <w:num w:numId="2" w16cid:durableId="433592855">
    <w:abstractNumId w:val="0"/>
  </w:num>
  <w:num w:numId="3" w16cid:durableId="287442415">
    <w:abstractNumId w:val="2"/>
  </w:num>
  <w:num w:numId="4" w16cid:durableId="513888508">
    <w:abstractNumId w:val="11"/>
  </w:num>
  <w:num w:numId="5" w16cid:durableId="1580289963">
    <w:abstractNumId w:val="7"/>
  </w:num>
  <w:num w:numId="6" w16cid:durableId="1541741886">
    <w:abstractNumId w:val="16"/>
  </w:num>
  <w:num w:numId="7" w16cid:durableId="732317820">
    <w:abstractNumId w:val="4"/>
  </w:num>
  <w:num w:numId="8" w16cid:durableId="951547967">
    <w:abstractNumId w:val="9"/>
  </w:num>
  <w:num w:numId="9" w16cid:durableId="338046146">
    <w:abstractNumId w:val="10"/>
  </w:num>
  <w:num w:numId="10" w16cid:durableId="944309488">
    <w:abstractNumId w:val="6"/>
  </w:num>
  <w:num w:numId="11" w16cid:durableId="620842419">
    <w:abstractNumId w:val="5"/>
  </w:num>
  <w:num w:numId="12" w16cid:durableId="1254171094">
    <w:abstractNumId w:val="8"/>
  </w:num>
  <w:num w:numId="13" w16cid:durableId="1535656386">
    <w:abstractNumId w:val="13"/>
  </w:num>
  <w:num w:numId="14" w16cid:durableId="1751459722">
    <w:abstractNumId w:val="1"/>
  </w:num>
  <w:num w:numId="15" w16cid:durableId="1237860622">
    <w:abstractNumId w:val="15"/>
  </w:num>
  <w:num w:numId="16" w16cid:durableId="307365070">
    <w:abstractNumId w:val="14"/>
  </w:num>
  <w:num w:numId="17" w16cid:durableId="2027751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8A"/>
    <w:rsid w:val="000002AE"/>
    <w:rsid w:val="00020521"/>
    <w:rsid w:val="0002073A"/>
    <w:rsid w:val="0002129A"/>
    <w:rsid w:val="00021F3E"/>
    <w:rsid w:val="0003376B"/>
    <w:rsid w:val="000370EA"/>
    <w:rsid w:val="0003774B"/>
    <w:rsid w:val="000449D4"/>
    <w:rsid w:val="000502CA"/>
    <w:rsid w:val="000548BA"/>
    <w:rsid w:val="00060EC0"/>
    <w:rsid w:val="00061166"/>
    <w:rsid w:val="00061D8B"/>
    <w:rsid w:val="00062D52"/>
    <w:rsid w:val="000643C8"/>
    <w:rsid w:val="00064595"/>
    <w:rsid w:val="00071A4F"/>
    <w:rsid w:val="00072474"/>
    <w:rsid w:val="00074006"/>
    <w:rsid w:val="00080194"/>
    <w:rsid w:val="0008216A"/>
    <w:rsid w:val="0008245F"/>
    <w:rsid w:val="00092E98"/>
    <w:rsid w:val="00097E02"/>
    <w:rsid w:val="000A0D0F"/>
    <w:rsid w:val="000A235F"/>
    <w:rsid w:val="000A3274"/>
    <w:rsid w:val="000A3933"/>
    <w:rsid w:val="000A7BE2"/>
    <w:rsid w:val="000B69F6"/>
    <w:rsid w:val="000C50C7"/>
    <w:rsid w:val="000C7807"/>
    <w:rsid w:val="000D185C"/>
    <w:rsid w:val="000D626B"/>
    <w:rsid w:val="000D6386"/>
    <w:rsid w:val="000E462A"/>
    <w:rsid w:val="000E56F3"/>
    <w:rsid w:val="000F5555"/>
    <w:rsid w:val="000F7F65"/>
    <w:rsid w:val="0011059C"/>
    <w:rsid w:val="00110D0E"/>
    <w:rsid w:val="00117003"/>
    <w:rsid w:val="001213F2"/>
    <w:rsid w:val="0012357B"/>
    <w:rsid w:val="0012435A"/>
    <w:rsid w:val="001352A1"/>
    <w:rsid w:val="0014544E"/>
    <w:rsid w:val="00147C44"/>
    <w:rsid w:val="00147CB9"/>
    <w:rsid w:val="00155142"/>
    <w:rsid w:val="001566C2"/>
    <w:rsid w:val="00166EE1"/>
    <w:rsid w:val="00167E34"/>
    <w:rsid w:val="00182812"/>
    <w:rsid w:val="00182C26"/>
    <w:rsid w:val="00184468"/>
    <w:rsid w:val="00190782"/>
    <w:rsid w:val="001A1552"/>
    <w:rsid w:val="001A17BE"/>
    <w:rsid w:val="001A359A"/>
    <w:rsid w:val="001A5AEA"/>
    <w:rsid w:val="001A5C27"/>
    <w:rsid w:val="001B452D"/>
    <w:rsid w:val="001B4EE7"/>
    <w:rsid w:val="001C4284"/>
    <w:rsid w:val="001C5A4E"/>
    <w:rsid w:val="001D5AA0"/>
    <w:rsid w:val="001E4A5B"/>
    <w:rsid w:val="001E7ED8"/>
    <w:rsid w:val="001F5B35"/>
    <w:rsid w:val="00204E2C"/>
    <w:rsid w:val="00210811"/>
    <w:rsid w:val="00211372"/>
    <w:rsid w:val="00217778"/>
    <w:rsid w:val="002229D8"/>
    <w:rsid w:val="002311FB"/>
    <w:rsid w:val="002312C9"/>
    <w:rsid w:val="0023231A"/>
    <w:rsid w:val="0023451E"/>
    <w:rsid w:val="00234C9E"/>
    <w:rsid w:val="00234F2F"/>
    <w:rsid w:val="00235477"/>
    <w:rsid w:val="00236575"/>
    <w:rsid w:val="00241B21"/>
    <w:rsid w:val="00245AD9"/>
    <w:rsid w:val="00250E1F"/>
    <w:rsid w:val="002518EB"/>
    <w:rsid w:val="00265268"/>
    <w:rsid w:val="00265A11"/>
    <w:rsid w:val="00272E96"/>
    <w:rsid w:val="002739E3"/>
    <w:rsid w:val="00273D2C"/>
    <w:rsid w:val="00276645"/>
    <w:rsid w:val="00277C75"/>
    <w:rsid w:val="00277D47"/>
    <w:rsid w:val="00280EE1"/>
    <w:rsid w:val="00281524"/>
    <w:rsid w:val="002844DB"/>
    <w:rsid w:val="0028799B"/>
    <w:rsid w:val="002960B5"/>
    <w:rsid w:val="002A0D33"/>
    <w:rsid w:val="002A19C5"/>
    <w:rsid w:val="002A5F1E"/>
    <w:rsid w:val="002A6B50"/>
    <w:rsid w:val="002B688A"/>
    <w:rsid w:val="002C0738"/>
    <w:rsid w:val="002C6AFB"/>
    <w:rsid w:val="002D2E5E"/>
    <w:rsid w:val="002D328F"/>
    <w:rsid w:val="002D6189"/>
    <w:rsid w:val="002E402B"/>
    <w:rsid w:val="002E6245"/>
    <w:rsid w:val="002E7331"/>
    <w:rsid w:val="002F0D9A"/>
    <w:rsid w:val="002F1A8F"/>
    <w:rsid w:val="002F202B"/>
    <w:rsid w:val="002F2559"/>
    <w:rsid w:val="002F40B1"/>
    <w:rsid w:val="00302FB8"/>
    <w:rsid w:val="003035DC"/>
    <w:rsid w:val="00303AA3"/>
    <w:rsid w:val="00303CBE"/>
    <w:rsid w:val="0030569F"/>
    <w:rsid w:val="00306755"/>
    <w:rsid w:val="003108F5"/>
    <w:rsid w:val="00315913"/>
    <w:rsid w:val="00315CC4"/>
    <w:rsid w:val="00317E71"/>
    <w:rsid w:val="003301E9"/>
    <w:rsid w:val="00331408"/>
    <w:rsid w:val="0034039F"/>
    <w:rsid w:val="00342AD7"/>
    <w:rsid w:val="00375735"/>
    <w:rsid w:val="00380459"/>
    <w:rsid w:val="00381F18"/>
    <w:rsid w:val="00382A92"/>
    <w:rsid w:val="003837AB"/>
    <w:rsid w:val="003946AC"/>
    <w:rsid w:val="003A1DDE"/>
    <w:rsid w:val="003A46BF"/>
    <w:rsid w:val="003B4CF3"/>
    <w:rsid w:val="003B4DF2"/>
    <w:rsid w:val="003B636A"/>
    <w:rsid w:val="003D6464"/>
    <w:rsid w:val="003E163A"/>
    <w:rsid w:val="003E7A40"/>
    <w:rsid w:val="003F2DD3"/>
    <w:rsid w:val="00404CAE"/>
    <w:rsid w:val="00411862"/>
    <w:rsid w:val="004122DA"/>
    <w:rsid w:val="004136AF"/>
    <w:rsid w:val="00416E92"/>
    <w:rsid w:val="004171D7"/>
    <w:rsid w:val="00427848"/>
    <w:rsid w:val="004337E3"/>
    <w:rsid w:val="00440799"/>
    <w:rsid w:val="00450C09"/>
    <w:rsid w:val="00456976"/>
    <w:rsid w:val="00460225"/>
    <w:rsid w:val="00460C98"/>
    <w:rsid w:val="00460F56"/>
    <w:rsid w:val="00462D77"/>
    <w:rsid w:val="00463816"/>
    <w:rsid w:val="00467684"/>
    <w:rsid w:val="0046791C"/>
    <w:rsid w:val="00474521"/>
    <w:rsid w:val="00475F80"/>
    <w:rsid w:val="00476110"/>
    <w:rsid w:val="00485454"/>
    <w:rsid w:val="00493887"/>
    <w:rsid w:val="00495142"/>
    <w:rsid w:val="004A71ED"/>
    <w:rsid w:val="004B04AB"/>
    <w:rsid w:val="004B392F"/>
    <w:rsid w:val="004C0DCF"/>
    <w:rsid w:val="004C56D2"/>
    <w:rsid w:val="004C64D4"/>
    <w:rsid w:val="004C65E5"/>
    <w:rsid w:val="004D5019"/>
    <w:rsid w:val="004D51C7"/>
    <w:rsid w:val="004E2BAA"/>
    <w:rsid w:val="004E35C3"/>
    <w:rsid w:val="004E59CA"/>
    <w:rsid w:val="004E7ED9"/>
    <w:rsid w:val="004F01AE"/>
    <w:rsid w:val="004F202D"/>
    <w:rsid w:val="004F2D06"/>
    <w:rsid w:val="005002FF"/>
    <w:rsid w:val="005024A5"/>
    <w:rsid w:val="005028D1"/>
    <w:rsid w:val="005128D6"/>
    <w:rsid w:val="0051417F"/>
    <w:rsid w:val="005212B6"/>
    <w:rsid w:val="00521FF0"/>
    <w:rsid w:val="00522244"/>
    <w:rsid w:val="00522762"/>
    <w:rsid w:val="00525E19"/>
    <w:rsid w:val="005344EA"/>
    <w:rsid w:val="005366A1"/>
    <w:rsid w:val="00536F0B"/>
    <w:rsid w:val="00537325"/>
    <w:rsid w:val="00537466"/>
    <w:rsid w:val="00540942"/>
    <w:rsid w:val="00541132"/>
    <w:rsid w:val="005436BC"/>
    <w:rsid w:val="005523A0"/>
    <w:rsid w:val="005526DE"/>
    <w:rsid w:val="00552992"/>
    <w:rsid w:val="00557158"/>
    <w:rsid w:val="00560A4A"/>
    <w:rsid w:val="00561B25"/>
    <w:rsid w:val="00561B8F"/>
    <w:rsid w:val="00562C84"/>
    <w:rsid w:val="00564F07"/>
    <w:rsid w:val="00565869"/>
    <w:rsid w:val="00570BF6"/>
    <w:rsid w:val="00572EFD"/>
    <w:rsid w:val="005738FD"/>
    <w:rsid w:val="005743EA"/>
    <w:rsid w:val="00577BDD"/>
    <w:rsid w:val="0058108B"/>
    <w:rsid w:val="00586BCB"/>
    <w:rsid w:val="00590AE4"/>
    <w:rsid w:val="0059166E"/>
    <w:rsid w:val="005A2C6F"/>
    <w:rsid w:val="005A79A7"/>
    <w:rsid w:val="005B71E5"/>
    <w:rsid w:val="005B7361"/>
    <w:rsid w:val="005B7E2E"/>
    <w:rsid w:val="005C0C8A"/>
    <w:rsid w:val="005C12EF"/>
    <w:rsid w:val="005C1CB6"/>
    <w:rsid w:val="005C6AE7"/>
    <w:rsid w:val="005D07F2"/>
    <w:rsid w:val="005D09C5"/>
    <w:rsid w:val="005D7090"/>
    <w:rsid w:val="005E2734"/>
    <w:rsid w:val="005E4CB1"/>
    <w:rsid w:val="005E77DB"/>
    <w:rsid w:val="005F2B8F"/>
    <w:rsid w:val="005F511F"/>
    <w:rsid w:val="00602A13"/>
    <w:rsid w:val="00602A82"/>
    <w:rsid w:val="00602B6B"/>
    <w:rsid w:val="006032D4"/>
    <w:rsid w:val="00613A13"/>
    <w:rsid w:val="006174D6"/>
    <w:rsid w:val="006205A3"/>
    <w:rsid w:val="006276C6"/>
    <w:rsid w:val="00634468"/>
    <w:rsid w:val="00645FE0"/>
    <w:rsid w:val="00652E58"/>
    <w:rsid w:val="00654459"/>
    <w:rsid w:val="00654603"/>
    <w:rsid w:val="00655A23"/>
    <w:rsid w:val="00660DDE"/>
    <w:rsid w:val="00666BF9"/>
    <w:rsid w:val="006714F3"/>
    <w:rsid w:val="00674F09"/>
    <w:rsid w:val="00675F25"/>
    <w:rsid w:val="00676963"/>
    <w:rsid w:val="00680690"/>
    <w:rsid w:val="006809C1"/>
    <w:rsid w:val="00684DCD"/>
    <w:rsid w:val="00685845"/>
    <w:rsid w:val="00685EA2"/>
    <w:rsid w:val="00695DDC"/>
    <w:rsid w:val="0069656D"/>
    <w:rsid w:val="00697D4C"/>
    <w:rsid w:val="006A236E"/>
    <w:rsid w:val="006A5F07"/>
    <w:rsid w:val="006B2E96"/>
    <w:rsid w:val="006C3FA7"/>
    <w:rsid w:val="006C426E"/>
    <w:rsid w:val="006C4632"/>
    <w:rsid w:val="006E12D6"/>
    <w:rsid w:val="006E33F4"/>
    <w:rsid w:val="006E6145"/>
    <w:rsid w:val="006E71E5"/>
    <w:rsid w:val="006F08F1"/>
    <w:rsid w:val="006F155D"/>
    <w:rsid w:val="006F1B3A"/>
    <w:rsid w:val="006F4A3E"/>
    <w:rsid w:val="006F504B"/>
    <w:rsid w:val="006F5820"/>
    <w:rsid w:val="00705681"/>
    <w:rsid w:val="0071380B"/>
    <w:rsid w:val="00713BAD"/>
    <w:rsid w:val="007144D4"/>
    <w:rsid w:val="00716A81"/>
    <w:rsid w:val="00727BC8"/>
    <w:rsid w:val="007403C9"/>
    <w:rsid w:val="007545BE"/>
    <w:rsid w:val="00757C2E"/>
    <w:rsid w:val="00764121"/>
    <w:rsid w:val="007646C4"/>
    <w:rsid w:val="00764B81"/>
    <w:rsid w:val="00773B28"/>
    <w:rsid w:val="007827B3"/>
    <w:rsid w:val="007832A1"/>
    <w:rsid w:val="00787047"/>
    <w:rsid w:val="00796287"/>
    <w:rsid w:val="007A0563"/>
    <w:rsid w:val="007A1C29"/>
    <w:rsid w:val="007A6D3B"/>
    <w:rsid w:val="007B1341"/>
    <w:rsid w:val="007B18D3"/>
    <w:rsid w:val="007B4DE8"/>
    <w:rsid w:val="007B58A3"/>
    <w:rsid w:val="007B60E5"/>
    <w:rsid w:val="007B71B0"/>
    <w:rsid w:val="007C1553"/>
    <w:rsid w:val="007C49B6"/>
    <w:rsid w:val="007C61CD"/>
    <w:rsid w:val="007D0C6D"/>
    <w:rsid w:val="007D14EC"/>
    <w:rsid w:val="007D2069"/>
    <w:rsid w:val="007D7449"/>
    <w:rsid w:val="007E633C"/>
    <w:rsid w:val="007F1151"/>
    <w:rsid w:val="007F3FB4"/>
    <w:rsid w:val="007F5584"/>
    <w:rsid w:val="007F7295"/>
    <w:rsid w:val="00802198"/>
    <w:rsid w:val="0080590B"/>
    <w:rsid w:val="0081208F"/>
    <w:rsid w:val="00814A78"/>
    <w:rsid w:val="008158FE"/>
    <w:rsid w:val="00817562"/>
    <w:rsid w:val="0081772E"/>
    <w:rsid w:val="008177DF"/>
    <w:rsid w:val="008257CF"/>
    <w:rsid w:val="0082687E"/>
    <w:rsid w:val="0083045D"/>
    <w:rsid w:val="0083055B"/>
    <w:rsid w:val="00833961"/>
    <w:rsid w:val="00836C6E"/>
    <w:rsid w:val="0084052D"/>
    <w:rsid w:val="00841CCE"/>
    <w:rsid w:val="00842DAA"/>
    <w:rsid w:val="00843DE7"/>
    <w:rsid w:val="00845AE5"/>
    <w:rsid w:val="008531CB"/>
    <w:rsid w:val="00854940"/>
    <w:rsid w:val="00856E79"/>
    <w:rsid w:val="00864CBA"/>
    <w:rsid w:val="008658CF"/>
    <w:rsid w:val="00866AC8"/>
    <w:rsid w:val="008736B3"/>
    <w:rsid w:val="008738CF"/>
    <w:rsid w:val="00876F6A"/>
    <w:rsid w:val="00887375"/>
    <w:rsid w:val="0089347E"/>
    <w:rsid w:val="00894D6C"/>
    <w:rsid w:val="008A4A5C"/>
    <w:rsid w:val="008B0845"/>
    <w:rsid w:val="008B2BB7"/>
    <w:rsid w:val="008C08D9"/>
    <w:rsid w:val="008C11C2"/>
    <w:rsid w:val="008C324A"/>
    <w:rsid w:val="008C646B"/>
    <w:rsid w:val="008D1510"/>
    <w:rsid w:val="008E1506"/>
    <w:rsid w:val="008E5268"/>
    <w:rsid w:val="008E7396"/>
    <w:rsid w:val="008F5CB2"/>
    <w:rsid w:val="00903D99"/>
    <w:rsid w:val="00907987"/>
    <w:rsid w:val="00910053"/>
    <w:rsid w:val="00910696"/>
    <w:rsid w:val="0091236A"/>
    <w:rsid w:val="00912BE0"/>
    <w:rsid w:val="00914054"/>
    <w:rsid w:val="00914650"/>
    <w:rsid w:val="0091795D"/>
    <w:rsid w:val="00917DB4"/>
    <w:rsid w:val="009213C7"/>
    <w:rsid w:val="00923930"/>
    <w:rsid w:val="00927F4B"/>
    <w:rsid w:val="009313CA"/>
    <w:rsid w:val="00947485"/>
    <w:rsid w:val="00947ACE"/>
    <w:rsid w:val="009620F9"/>
    <w:rsid w:val="0096502E"/>
    <w:rsid w:val="00971C2D"/>
    <w:rsid w:val="00971EFF"/>
    <w:rsid w:val="00985E8E"/>
    <w:rsid w:val="00995997"/>
    <w:rsid w:val="009A230C"/>
    <w:rsid w:val="009A4E5F"/>
    <w:rsid w:val="009B1919"/>
    <w:rsid w:val="009B7B5C"/>
    <w:rsid w:val="009C04E0"/>
    <w:rsid w:val="009C143C"/>
    <w:rsid w:val="009C3210"/>
    <w:rsid w:val="009D0F0E"/>
    <w:rsid w:val="009D23D5"/>
    <w:rsid w:val="009D3EB0"/>
    <w:rsid w:val="009F1168"/>
    <w:rsid w:val="009F4CAF"/>
    <w:rsid w:val="00A02A17"/>
    <w:rsid w:val="00A0405D"/>
    <w:rsid w:val="00A04EED"/>
    <w:rsid w:val="00A06C31"/>
    <w:rsid w:val="00A17E07"/>
    <w:rsid w:val="00A22ACB"/>
    <w:rsid w:val="00A27584"/>
    <w:rsid w:val="00A301F6"/>
    <w:rsid w:val="00A41D30"/>
    <w:rsid w:val="00A42A5B"/>
    <w:rsid w:val="00A43EDC"/>
    <w:rsid w:val="00A46370"/>
    <w:rsid w:val="00A54791"/>
    <w:rsid w:val="00A60E33"/>
    <w:rsid w:val="00A652B9"/>
    <w:rsid w:val="00A65A5A"/>
    <w:rsid w:val="00A708D9"/>
    <w:rsid w:val="00A731BC"/>
    <w:rsid w:val="00A74027"/>
    <w:rsid w:val="00A81A1A"/>
    <w:rsid w:val="00A82257"/>
    <w:rsid w:val="00A84D57"/>
    <w:rsid w:val="00A86707"/>
    <w:rsid w:val="00A872B9"/>
    <w:rsid w:val="00A90FB0"/>
    <w:rsid w:val="00A92471"/>
    <w:rsid w:val="00AA64E4"/>
    <w:rsid w:val="00AA752C"/>
    <w:rsid w:val="00AC190E"/>
    <w:rsid w:val="00AC6E8E"/>
    <w:rsid w:val="00AD54A6"/>
    <w:rsid w:val="00AE0490"/>
    <w:rsid w:val="00AE2368"/>
    <w:rsid w:val="00AE5B1C"/>
    <w:rsid w:val="00AF027D"/>
    <w:rsid w:val="00AF04C1"/>
    <w:rsid w:val="00AF0C8F"/>
    <w:rsid w:val="00AF4EAC"/>
    <w:rsid w:val="00AF6BAD"/>
    <w:rsid w:val="00AF6F24"/>
    <w:rsid w:val="00B018A4"/>
    <w:rsid w:val="00B02FA6"/>
    <w:rsid w:val="00B040AA"/>
    <w:rsid w:val="00B15729"/>
    <w:rsid w:val="00B15FD5"/>
    <w:rsid w:val="00B304EF"/>
    <w:rsid w:val="00B336EC"/>
    <w:rsid w:val="00B34918"/>
    <w:rsid w:val="00B35038"/>
    <w:rsid w:val="00B36404"/>
    <w:rsid w:val="00B41E6E"/>
    <w:rsid w:val="00B53250"/>
    <w:rsid w:val="00B54A11"/>
    <w:rsid w:val="00B54C48"/>
    <w:rsid w:val="00B555ED"/>
    <w:rsid w:val="00B55C56"/>
    <w:rsid w:val="00B621E9"/>
    <w:rsid w:val="00B63404"/>
    <w:rsid w:val="00B6558A"/>
    <w:rsid w:val="00B65A23"/>
    <w:rsid w:val="00B673EE"/>
    <w:rsid w:val="00B702C2"/>
    <w:rsid w:val="00B72107"/>
    <w:rsid w:val="00B72BA9"/>
    <w:rsid w:val="00B808EE"/>
    <w:rsid w:val="00B86659"/>
    <w:rsid w:val="00BA58B5"/>
    <w:rsid w:val="00BA73C6"/>
    <w:rsid w:val="00BB1229"/>
    <w:rsid w:val="00BC012C"/>
    <w:rsid w:val="00BC230D"/>
    <w:rsid w:val="00BC25C6"/>
    <w:rsid w:val="00BC3295"/>
    <w:rsid w:val="00BC720A"/>
    <w:rsid w:val="00BD46B5"/>
    <w:rsid w:val="00BD5DA7"/>
    <w:rsid w:val="00BE754F"/>
    <w:rsid w:val="00BF44C9"/>
    <w:rsid w:val="00BF455B"/>
    <w:rsid w:val="00BF5264"/>
    <w:rsid w:val="00BF77B1"/>
    <w:rsid w:val="00C16086"/>
    <w:rsid w:val="00C17406"/>
    <w:rsid w:val="00C2064B"/>
    <w:rsid w:val="00C24AE2"/>
    <w:rsid w:val="00C26E2F"/>
    <w:rsid w:val="00C40FF1"/>
    <w:rsid w:val="00C41F36"/>
    <w:rsid w:val="00C43D4C"/>
    <w:rsid w:val="00C457A5"/>
    <w:rsid w:val="00C56A87"/>
    <w:rsid w:val="00C6073A"/>
    <w:rsid w:val="00C61204"/>
    <w:rsid w:val="00C66688"/>
    <w:rsid w:val="00C82B46"/>
    <w:rsid w:val="00C82EEA"/>
    <w:rsid w:val="00C87972"/>
    <w:rsid w:val="00C90517"/>
    <w:rsid w:val="00C9240B"/>
    <w:rsid w:val="00CA239C"/>
    <w:rsid w:val="00CA4131"/>
    <w:rsid w:val="00CA4D9E"/>
    <w:rsid w:val="00CA597E"/>
    <w:rsid w:val="00CA5E40"/>
    <w:rsid w:val="00CB41C7"/>
    <w:rsid w:val="00CB445B"/>
    <w:rsid w:val="00CB5DBC"/>
    <w:rsid w:val="00CB6992"/>
    <w:rsid w:val="00CB6F1B"/>
    <w:rsid w:val="00CB787C"/>
    <w:rsid w:val="00CC18A1"/>
    <w:rsid w:val="00CC32DE"/>
    <w:rsid w:val="00CC721B"/>
    <w:rsid w:val="00CD0017"/>
    <w:rsid w:val="00CD3F28"/>
    <w:rsid w:val="00CD485D"/>
    <w:rsid w:val="00CD6000"/>
    <w:rsid w:val="00CD625A"/>
    <w:rsid w:val="00CD6DD3"/>
    <w:rsid w:val="00CE0600"/>
    <w:rsid w:val="00CE0948"/>
    <w:rsid w:val="00CE66C9"/>
    <w:rsid w:val="00CE6A8B"/>
    <w:rsid w:val="00CF1456"/>
    <w:rsid w:val="00CF24C0"/>
    <w:rsid w:val="00CF3039"/>
    <w:rsid w:val="00CF7FCC"/>
    <w:rsid w:val="00D000B0"/>
    <w:rsid w:val="00D05BCF"/>
    <w:rsid w:val="00D1223C"/>
    <w:rsid w:val="00D12883"/>
    <w:rsid w:val="00D14026"/>
    <w:rsid w:val="00D1429C"/>
    <w:rsid w:val="00D22380"/>
    <w:rsid w:val="00D2368E"/>
    <w:rsid w:val="00D243DE"/>
    <w:rsid w:val="00D26509"/>
    <w:rsid w:val="00D32F57"/>
    <w:rsid w:val="00D37E40"/>
    <w:rsid w:val="00D4035E"/>
    <w:rsid w:val="00D40C84"/>
    <w:rsid w:val="00D4163E"/>
    <w:rsid w:val="00D44423"/>
    <w:rsid w:val="00D46EE5"/>
    <w:rsid w:val="00D55FE9"/>
    <w:rsid w:val="00D56576"/>
    <w:rsid w:val="00D60C46"/>
    <w:rsid w:val="00D6176E"/>
    <w:rsid w:val="00D62F69"/>
    <w:rsid w:val="00D74140"/>
    <w:rsid w:val="00D74E25"/>
    <w:rsid w:val="00D76A83"/>
    <w:rsid w:val="00D80993"/>
    <w:rsid w:val="00D81C54"/>
    <w:rsid w:val="00D826F2"/>
    <w:rsid w:val="00D84676"/>
    <w:rsid w:val="00D84C60"/>
    <w:rsid w:val="00D85650"/>
    <w:rsid w:val="00D86C73"/>
    <w:rsid w:val="00D907F4"/>
    <w:rsid w:val="00D919EA"/>
    <w:rsid w:val="00D91E03"/>
    <w:rsid w:val="00D9334B"/>
    <w:rsid w:val="00D944BF"/>
    <w:rsid w:val="00D9452D"/>
    <w:rsid w:val="00D97837"/>
    <w:rsid w:val="00DA1A38"/>
    <w:rsid w:val="00DA3C43"/>
    <w:rsid w:val="00DB2044"/>
    <w:rsid w:val="00DB23BE"/>
    <w:rsid w:val="00DB252F"/>
    <w:rsid w:val="00DB2DC6"/>
    <w:rsid w:val="00DB2E7F"/>
    <w:rsid w:val="00DB3851"/>
    <w:rsid w:val="00DC2279"/>
    <w:rsid w:val="00DC321B"/>
    <w:rsid w:val="00DC4692"/>
    <w:rsid w:val="00DC6B32"/>
    <w:rsid w:val="00DD21A9"/>
    <w:rsid w:val="00DD6202"/>
    <w:rsid w:val="00DE257D"/>
    <w:rsid w:val="00DE4510"/>
    <w:rsid w:val="00DE544A"/>
    <w:rsid w:val="00DE5696"/>
    <w:rsid w:val="00DE61AA"/>
    <w:rsid w:val="00DF68F5"/>
    <w:rsid w:val="00E01428"/>
    <w:rsid w:val="00E019E7"/>
    <w:rsid w:val="00E04FF9"/>
    <w:rsid w:val="00E0596C"/>
    <w:rsid w:val="00E06481"/>
    <w:rsid w:val="00E100F3"/>
    <w:rsid w:val="00E10A6E"/>
    <w:rsid w:val="00E118D7"/>
    <w:rsid w:val="00E17FD8"/>
    <w:rsid w:val="00E24B0D"/>
    <w:rsid w:val="00E34BE2"/>
    <w:rsid w:val="00E470C8"/>
    <w:rsid w:val="00E535F2"/>
    <w:rsid w:val="00E56201"/>
    <w:rsid w:val="00E6495D"/>
    <w:rsid w:val="00E718D9"/>
    <w:rsid w:val="00E760A4"/>
    <w:rsid w:val="00E7623C"/>
    <w:rsid w:val="00E77016"/>
    <w:rsid w:val="00E8188B"/>
    <w:rsid w:val="00E903D2"/>
    <w:rsid w:val="00E95A0D"/>
    <w:rsid w:val="00E96006"/>
    <w:rsid w:val="00E970FD"/>
    <w:rsid w:val="00EA08DD"/>
    <w:rsid w:val="00EA0C15"/>
    <w:rsid w:val="00EA3D09"/>
    <w:rsid w:val="00EA441F"/>
    <w:rsid w:val="00EA655E"/>
    <w:rsid w:val="00EA6985"/>
    <w:rsid w:val="00EA76AC"/>
    <w:rsid w:val="00EB1687"/>
    <w:rsid w:val="00EB457A"/>
    <w:rsid w:val="00EB5EB1"/>
    <w:rsid w:val="00EB65B9"/>
    <w:rsid w:val="00EB78CE"/>
    <w:rsid w:val="00EC27B0"/>
    <w:rsid w:val="00EC2CDC"/>
    <w:rsid w:val="00EC3FBE"/>
    <w:rsid w:val="00EC6094"/>
    <w:rsid w:val="00EC67EF"/>
    <w:rsid w:val="00ED0737"/>
    <w:rsid w:val="00EE456E"/>
    <w:rsid w:val="00EE4678"/>
    <w:rsid w:val="00EE5B8F"/>
    <w:rsid w:val="00EE6B79"/>
    <w:rsid w:val="00EF0A9D"/>
    <w:rsid w:val="00EF4B31"/>
    <w:rsid w:val="00F012F5"/>
    <w:rsid w:val="00F118C2"/>
    <w:rsid w:val="00F1361D"/>
    <w:rsid w:val="00F2029A"/>
    <w:rsid w:val="00F20859"/>
    <w:rsid w:val="00F20BE5"/>
    <w:rsid w:val="00F2299D"/>
    <w:rsid w:val="00F262AB"/>
    <w:rsid w:val="00F26EBF"/>
    <w:rsid w:val="00F270C7"/>
    <w:rsid w:val="00F30D3E"/>
    <w:rsid w:val="00F33B0E"/>
    <w:rsid w:val="00F4027F"/>
    <w:rsid w:val="00F40539"/>
    <w:rsid w:val="00F42BD5"/>
    <w:rsid w:val="00F43557"/>
    <w:rsid w:val="00F45617"/>
    <w:rsid w:val="00F50262"/>
    <w:rsid w:val="00F51288"/>
    <w:rsid w:val="00F52D2D"/>
    <w:rsid w:val="00F55321"/>
    <w:rsid w:val="00F56D66"/>
    <w:rsid w:val="00F6248A"/>
    <w:rsid w:val="00F726AF"/>
    <w:rsid w:val="00F73611"/>
    <w:rsid w:val="00F738A3"/>
    <w:rsid w:val="00F744DE"/>
    <w:rsid w:val="00F83827"/>
    <w:rsid w:val="00F933ED"/>
    <w:rsid w:val="00F94087"/>
    <w:rsid w:val="00F97646"/>
    <w:rsid w:val="00FB0631"/>
    <w:rsid w:val="00FB1B97"/>
    <w:rsid w:val="00FB1C0C"/>
    <w:rsid w:val="00FB1E71"/>
    <w:rsid w:val="00FB7E8F"/>
    <w:rsid w:val="00FC0363"/>
    <w:rsid w:val="00FC5730"/>
    <w:rsid w:val="00FD24D1"/>
    <w:rsid w:val="00FD70DF"/>
    <w:rsid w:val="00FE03F3"/>
    <w:rsid w:val="00FE28E3"/>
    <w:rsid w:val="00FE2B51"/>
    <w:rsid w:val="00FE2F9C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AB164"/>
  <w15:chartTrackingRefBased/>
  <w15:docId w15:val="{176FCB3B-D09A-4923-AE0B-04B2376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84468"/>
    <w:pPr>
      <w:autoSpaceDE w:val="0"/>
      <w:autoSpaceDN w:val="0"/>
      <w:adjustRightInd w:val="0"/>
      <w:spacing w:after="0" w:line="240" w:lineRule="auto"/>
    </w:pPr>
    <w:rPr>
      <w:rFonts w:ascii="Baloo Thambi 2" w:hAnsi="Baloo Thambi 2" w:cs="Baloo Thambi 2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D8B"/>
    <w:pPr>
      <w:ind w:left="720"/>
      <w:contextualSpacing/>
    </w:pPr>
  </w:style>
  <w:style w:type="paragraph" w:styleId="Rvision">
    <w:name w:val="Revision"/>
    <w:hidden/>
    <w:uiPriority w:val="99"/>
    <w:semiHidden/>
    <w:rsid w:val="008B084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E56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56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56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6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69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159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91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3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325"/>
  </w:style>
  <w:style w:type="paragraph" w:styleId="Pieddepage">
    <w:name w:val="footer"/>
    <w:basedOn w:val="Normal"/>
    <w:link w:val="PieddepageCar"/>
    <w:uiPriority w:val="99"/>
    <w:unhideWhenUsed/>
    <w:rsid w:val="0053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iparex.com/investisseur-responsab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parex.com/wp-content/uploads/2022/07/180852_SIPAREX_RAPPORT-ESG_202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parex.com/wp-content/uploads/2019/09/SIPAREX-Proc%C3%A9dure-politique-de-vot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iparex.com/wp-content/uploads/2020/01/Charte-ESG_GroupeSiparex_janv202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F697D2A663A4D82785C0F945E10C5" ma:contentTypeVersion="15" ma:contentTypeDescription="Crée un document." ma:contentTypeScope="" ma:versionID="9cfd080b244c2635d8e9d0baef7c521e">
  <xsd:schema xmlns:xsd="http://www.w3.org/2001/XMLSchema" xmlns:xs="http://www.w3.org/2001/XMLSchema" xmlns:p="http://schemas.microsoft.com/office/2006/metadata/properties" xmlns:ns2="6c44f67d-5577-4402-b0b7-ecfa1b746f4a" xmlns:ns3="11ec62b9-e07e-4e69-b42f-e383119b443f" targetNamespace="http://schemas.microsoft.com/office/2006/metadata/properties" ma:root="true" ma:fieldsID="1d741a49781d343d8adfaafd3f2e97de" ns2:_="" ns3:_="">
    <xsd:import namespace="6c44f67d-5577-4402-b0b7-ecfa1b746f4a"/>
    <xsd:import namespace="11ec62b9-e07e-4e69-b42f-e383119b4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4f67d-5577-4402-b0b7-ecfa1b746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dd62f17-14c0-4cc3-8dec-176947e28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62b9-e07e-4e69-b42f-e383119b4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a54d15-026a-46dd-84f9-6f42b6a5fd96}" ma:internalName="TaxCatchAll" ma:showField="CatchAllData" ma:web="11ec62b9-e07e-4e69-b42f-e383119b4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CDC1A-C1E1-4666-997D-FEE30F61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4f67d-5577-4402-b0b7-ecfa1b746f4a"/>
    <ds:schemaRef ds:uri="11ec62b9-e07e-4e69-b42f-e383119b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C5C4E-BED7-4BA3-81A0-F68CC564E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17</Pages>
  <Words>5269</Words>
  <Characters>28980</Characters>
  <Application>Microsoft Office Word</Application>
  <DocSecurity>0</DocSecurity>
  <Lines>241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RUCHAUD Simon</dc:creator>
  <cp:keywords/>
  <dc:description/>
  <cp:lastModifiedBy>RUCHAUD Simon</cp:lastModifiedBy>
  <cp:revision>365</cp:revision>
  <dcterms:created xsi:type="dcterms:W3CDTF">2022-06-30T10:37:00Z</dcterms:created>
  <dcterms:modified xsi:type="dcterms:W3CDTF">2022-08-05T13:54:00Z</dcterms:modified>
</cp:coreProperties>
</file>