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CCB3" w14:textId="0766FF94" w:rsidR="006A7A7D" w:rsidRPr="006A7A7D" w:rsidRDefault="006A7A7D" w:rsidP="006A7A7D">
      <w:pPr>
        <w:jc w:val="center"/>
        <w:rPr>
          <w:i/>
          <w:iCs/>
          <w:sz w:val="28"/>
          <w:u w:val="single"/>
        </w:rPr>
      </w:pPr>
      <w:r w:rsidRPr="006A7A7D">
        <w:rPr>
          <w:i/>
          <w:iCs/>
          <w:sz w:val="28"/>
          <w:u w:val="single"/>
        </w:rPr>
        <w:t>ANNEXE A</w:t>
      </w:r>
      <w:r w:rsidR="006838D7">
        <w:rPr>
          <w:i/>
          <w:iCs/>
          <w:sz w:val="28"/>
          <w:u w:val="single"/>
        </w:rPr>
        <w:t xml:space="preserve"> </w:t>
      </w:r>
    </w:p>
    <w:p w14:paraId="0FEBBFA7" w14:textId="29ADD3FB" w:rsidR="006A7A7D" w:rsidRDefault="006A7A7D" w:rsidP="006A7A7D">
      <w:pPr>
        <w:jc w:val="center"/>
        <w:rPr>
          <w:rFonts w:cstheme="minorHAnsi"/>
          <w:b/>
          <w:bCs/>
          <w:caps/>
        </w:rPr>
      </w:pPr>
      <w:r>
        <w:rPr>
          <w:rFonts w:cstheme="minorHAnsi"/>
          <w:b/>
          <w:bCs/>
          <w:caps/>
        </w:rPr>
        <w:t xml:space="preserve">Structure des informations de durabilité du rapport annuel </w:t>
      </w:r>
      <w:r w:rsidR="00316D98">
        <w:rPr>
          <w:rFonts w:cstheme="minorHAnsi"/>
          <w:b/>
          <w:bCs/>
          <w:caps/>
        </w:rPr>
        <w:t xml:space="preserve">conformément aux dispositions prévues au </w:t>
      </w:r>
      <w:r>
        <w:rPr>
          <w:rFonts w:cstheme="minorHAnsi"/>
          <w:b/>
          <w:bCs/>
          <w:caps/>
        </w:rPr>
        <w:t>V de l’article D.533-16-1</w:t>
      </w:r>
      <w:r w:rsidR="007364E5">
        <w:rPr>
          <w:rFonts w:cstheme="minorHAnsi"/>
          <w:b/>
          <w:bCs/>
          <w:caps/>
        </w:rPr>
        <w:t xml:space="preserve"> du code monétaire et financier</w:t>
      </w:r>
      <w:r w:rsidR="006231F1">
        <w:rPr>
          <w:rFonts w:cstheme="minorHAnsi"/>
          <w:b/>
          <w:bCs/>
          <w:caps/>
        </w:rPr>
        <w:t xml:space="preserve"> pour les organismes </w:t>
      </w:r>
      <w:r w:rsidR="00FD4C95" w:rsidRPr="00FD4C95">
        <w:rPr>
          <w:rFonts w:cstheme="minorHAnsi"/>
          <w:b/>
          <w:bCs/>
          <w:caps/>
        </w:rPr>
        <w:t xml:space="preserve">ayant </w:t>
      </w:r>
      <w:r w:rsidR="00FD4C95">
        <w:rPr>
          <w:rFonts w:cstheme="minorHAnsi"/>
          <w:b/>
          <w:bCs/>
          <w:caps/>
        </w:rPr>
        <w:t>moins</w:t>
      </w:r>
      <w:r w:rsidR="00FD4C95" w:rsidRPr="00FD4C95">
        <w:rPr>
          <w:rFonts w:cstheme="minorHAnsi"/>
          <w:b/>
          <w:bCs/>
          <w:caps/>
        </w:rPr>
        <w:t xml:space="preserve"> de 500 million</w:t>
      </w:r>
      <w:r w:rsidR="00FD4C95">
        <w:rPr>
          <w:rFonts w:cstheme="minorHAnsi"/>
          <w:b/>
          <w:bCs/>
          <w:caps/>
        </w:rPr>
        <w:t xml:space="preserve">s d'euros de </w:t>
      </w:r>
      <w:r w:rsidR="00833412">
        <w:rPr>
          <w:rFonts w:cstheme="minorHAnsi"/>
          <w:b/>
          <w:bCs/>
          <w:caps/>
        </w:rPr>
        <w:t xml:space="preserve">total </w:t>
      </w:r>
      <w:r w:rsidR="00523175">
        <w:rPr>
          <w:rFonts w:cstheme="minorHAnsi"/>
          <w:b/>
          <w:bCs/>
          <w:caps/>
        </w:rPr>
        <w:t>de bilan ou d’encours</w:t>
      </w:r>
    </w:p>
    <w:p w14:paraId="1C3A6E46" w14:textId="77777777" w:rsidR="005D71F8" w:rsidRDefault="005D71F8" w:rsidP="006A7A7D">
      <w:pPr>
        <w:jc w:val="center"/>
        <w:rPr>
          <w:b/>
          <w:bCs/>
        </w:rPr>
      </w:pPr>
    </w:p>
    <w:p w14:paraId="6D6BB2ED" w14:textId="51AEBB11" w:rsidR="002E5650" w:rsidRDefault="002E5650" w:rsidP="00F21720">
      <w:pPr>
        <w:pStyle w:val="Paragraphedeliste"/>
        <w:numPr>
          <w:ilvl w:val="0"/>
          <w:numId w:val="2"/>
        </w:numPr>
        <w:spacing w:after="120"/>
        <w:ind w:left="284" w:hanging="284"/>
        <w:contextualSpacing w:val="0"/>
        <w:jc w:val="both"/>
        <w:rPr>
          <w:b/>
          <w:bCs/>
        </w:rPr>
      </w:pPr>
      <w:r w:rsidRPr="002E5650">
        <w:rPr>
          <w:b/>
          <w:bCs/>
        </w:rPr>
        <w:t>Démarche générale de l’entité sur la prise en compte des critères environnementaux, sociaux et de qualité de gouvernance</w:t>
      </w:r>
    </w:p>
    <w:p w14:paraId="6AE14183" w14:textId="6F3E99B6" w:rsidR="00981F86" w:rsidRPr="000C7BC0" w:rsidRDefault="00981F86" w:rsidP="00F21720">
      <w:pPr>
        <w:pStyle w:val="Paragraphedeliste"/>
        <w:numPr>
          <w:ilvl w:val="1"/>
          <w:numId w:val="2"/>
        </w:numPr>
        <w:spacing w:after="60"/>
        <w:ind w:left="709" w:hanging="425"/>
        <w:contextualSpacing w:val="0"/>
        <w:jc w:val="both"/>
        <w:rPr>
          <w:bCs/>
        </w:rPr>
      </w:pPr>
      <w:r w:rsidRPr="00B043A0">
        <w:t>Résumé</w:t>
      </w:r>
      <w:r>
        <w:t xml:space="preserve"> de la démarche</w:t>
      </w:r>
      <w:r w:rsidR="00DE25DD">
        <w:t> :</w:t>
      </w:r>
    </w:p>
    <w:p w14:paraId="45B49153" w14:textId="6FA1E92B" w:rsidR="000C7BC0" w:rsidRPr="00DE25DD" w:rsidRDefault="000C7BC0" w:rsidP="000C7BC0">
      <w:pPr>
        <w:pStyle w:val="Paragraphedeliste"/>
        <w:spacing w:after="60"/>
        <w:ind w:left="709"/>
        <w:contextualSpacing w:val="0"/>
        <w:jc w:val="both"/>
        <w:rPr>
          <w:bCs/>
        </w:rPr>
      </w:pPr>
      <w:r>
        <w:t xml:space="preserve">    </w:t>
      </w:r>
      <w:r>
        <w:t>Nos fonds communs et plus généralement notre gestion ne prennent pas simultanément en compte les critères environnementaux, sociaux et de qualité de gouvernance tels que définis par la loi Grenelle II. Toutefois, la gestion de CHAUSSIER GESTION prend en compte qualitativement mais de façon fondamentale l’utilité économique et sociale des produits ou services, le respect de l’environnement, le caractère socialement responsable des entreprises et la qualité de la « gouvernance » dans ses choix d’investissements.</w:t>
      </w:r>
    </w:p>
    <w:p w14:paraId="6A63D3A9" w14:textId="2995A666" w:rsidR="00DE25DD" w:rsidRPr="00B043A0" w:rsidRDefault="00DE25DD" w:rsidP="00DE25DD">
      <w:pPr>
        <w:pStyle w:val="Paragraphedeliste"/>
        <w:spacing w:after="60"/>
        <w:ind w:left="360"/>
        <w:contextualSpacing w:val="0"/>
        <w:jc w:val="both"/>
        <w:rPr>
          <w:bCs/>
        </w:rPr>
      </w:pPr>
      <w:r>
        <w:rPr>
          <w:bCs/>
        </w:rPr>
        <w:t xml:space="preserve"> </w:t>
      </w:r>
    </w:p>
    <w:p w14:paraId="01DC44EB" w14:textId="45A7BF51" w:rsidR="00981F86" w:rsidRDefault="00981F86" w:rsidP="00AC1EC3">
      <w:pPr>
        <w:pStyle w:val="Paragraphedeliste"/>
        <w:numPr>
          <w:ilvl w:val="1"/>
          <w:numId w:val="2"/>
        </w:numPr>
        <w:spacing w:after="60"/>
        <w:ind w:left="709" w:hanging="425"/>
        <w:contextualSpacing w:val="0"/>
        <w:jc w:val="both"/>
        <w:rPr>
          <w:bCs/>
        </w:rPr>
      </w:pPr>
      <w:r w:rsidRPr="00B043A0">
        <w:t>Contenu, fréquence et moyens utilisés pour informer les souscripteurs, affiliés, cotisants, allocataires ou clients sur les critères relatifs aux objectifs ESG pris en compte</w:t>
      </w:r>
      <w:r w:rsidR="00E771CE">
        <w:t xml:space="preserve"> </w:t>
      </w:r>
      <w:r w:rsidR="00E771CE">
        <w:rPr>
          <w:bCs/>
        </w:rPr>
        <w:t>dans la politique et la stratégie d’investissement</w:t>
      </w:r>
    </w:p>
    <w:p w14:paraId="773305DE" w14:textId="77777777" w:rsidR="000C7BC0" w:rsidRDefault="00DE25DD" w:rsidP="00DE25DD">
      <w:pPr>
        <w:pStyle w:val="Paragraphedeliste"/>
        <w:rPr>
          <w:bCs/>
        </w:rPr>
      </w:pPr>
      <w:r>
        <w:rPr>
          <w:bCs/>
        </w:rPr>
        <w:t xml:space="preserve">      Notre approche est rappelée dans nos </w:t>
      </w:r>
      <w:proofErr w:type="spellStart"/>
      <w:r>
        <w:rPr>
          <w:bCs/>
        </w:rPr>
        <w:t>reportings</w:t>
      </w:r>
      <w:proofErr w:type="spellEnd"/>
      <w:r>
        <w:rPr>
          <w:bCs/>
        </w:rPr>
        <w:t xml:space="preserve"> clients, notamment semestriels,</w:t>
      </w:r>
    </w:p>
    <w:p w14:paraId="4C08E51D" w14:textId="7C26C0FD" w:rsidR="00DE25DD" w:rsidRDefault="000C7BC0" w:rsidP="00DE25DD">
      <w:pPr>
        <w:pStyle w:val="Paragraphedeliste"/>
        <w:rPr>
          <w:bCs/>
        </w:rPr>
      </w:pPr>
      <w:r>
        <w:rPr>
          <w:bCs/>
        </w:rPr>
        <w:t xml:space="preserve">Et sur notre site </w:t>
      </w:r>
      <w:proofErr w:type="gramStart"/>
      <w:r>
        <w:rPr>
          <w:bCs/>
        </w:rPr>
        <w:t>internet ,</w:t>
      </w:r>
      <w:proofErr w:type="gramEnd"/>
      <w:r>
        <w:rPr>
          <w:bCs/>
        </w:rPr>
        <w:t xml:space="preserve"> onglet « informations réglementaires »</w:t>
      </w:r>
      <w:r w:rsidR="00DE25DD">
        <w:rPr>
          <w:bCs/>
        </w:rPr>
        <w:t xml:space="preserve"> </w:t>
      </w:r>
    </w:p>
    <w:p w14:paraId="3D05E321" w14:textId="576FCDB2" w:rsidR="00DE25DD" w:rsidRPr="00DE25DD" w:rsidRDefault="00DE25DD" w:rsidP="00DE25DD">
      <w:pPr>
        <w:pStyle w:val="Paragraphedeliste"/>
        <w:rPr>
          <w:bCs/>
        </w:rPr>
      </w:pPr>
      <w:r>
        <w:rPr>
          <w:bCs/>
        </w:rPr>
        <w:t xml:space="preserve">      </w:t>
      </w:r>
    </w:p>
    <w:p w14:paraId="12BBDC8E" w14:textId="77777777" w:rsidR="00DE25DD" w:rsidRPr="00AC1EC3" w:rsidRDefault="00DE25DD" w:rsidP="00DE25DD">
      <w:pPr>
        <w:pStyle w:val="Paragraphedeliste"/>
        <w:spacing w:after="60"/>
        <w:ind w:left="709"/>
        <w:contextualSpacing w:val="0"/>
        <w:jc w:val="both"/>
        <w:rPr>
          <w:bCs/>
        </w:rPr>
      </w:pPr>
    </w:p>
    <w:p w14:paraId="7A4C9793" w14:textId="77777777" w:rsidR="00981F86" w:rsidRDefault="00981F86" w:rsidP="00F21720">
      <w:pPr>
        <w:pStyle w:val="Paragraphedeliste"/>
        <w:numPr>
          <w:ilvl w:val="1"/>
          <w:numId w:val="2"/>
        </w:numPr>
        <w:spacing w:after="60"/>
        <w:ind w:left="709" w:hanging="425"/>
        <w:contextualSpacing w:val="0"/>
        <w:jc w:val="both"/>
        <w:rPr>
          <w:bCs/>
        </w:rPr>
      </w:pPr>
      <w:r w:rsidRPr="00B043A0">
        <w:rPr>
          <w:bCs/>
        </w:rPr>
        <w:t>Adhésion de l'entité, ou de certains produits financiers, à une charte, un code, une initiative ou obtention d'un label sur la prise en compte de critères ESG ainsi qu'une description sommaire de ceux-ci</w:t>
      </w:r>
    </w:p>
    <w:p w14:paraId="374B63A0" w14:textId="3467EBBE" w:rsidR="000938D8" w:rsidRDefault="000938D8" w:rsidP="00F21720">
      <w:pPr>
        <w:pStyle w:val="Paragraphedeliste"/>
        <w:spacing w:after="120"/>
        <w:ind w:left="284"/>
        <w:contextualSpacing w:val="0"/>
        <w:jc w:val="both"/>
        <w:rPr>
          <w:bCs/>
        </w:rPr>
      </w:pPr>
      <w:r w:rsidRPr="00413A24">
        <w:rPr>
          <w:bCs/>
        </w:rPr>
        <w:t xml:space="preserve">Les entités assujetties aux obligations de publication de l’article 29 de la loi 2019-1147 relative à l’énergie et au climat fournissent les informations </w:t>
      </w:r>
      <w:r w:rsidR="00FC574D" w:rsidRPr="00413A24">
        <w:rPr>
          <w:bCs/>
        </w:rPr>
        <w:t>prévues au a), b), d) et e) d</w:t>
      </w:r>
      <w:r w:rsidRPr="00413A24">
        <w:rPr>
          <w:bCs/>
        </w:rPr>
        <w:t xml:space="preserve">u 1° du III </w:t>
      </w:r>
      <w:r w:rsidR="00833412">
        <w:rPr>
          <w:bCs/>
        </w:rPr>
        <w:t xml:space="preserve">de </w:t>
      </w:r>
      <w:r w:rsidR="00962586">
        <w:rPr>
          <w:bCs/>
        </w:rPr>
        <w:t xml:space="preserve">l’article D. 533-16-1 </w:t>
      </w:r>
      <w:r w:rsidR="00E771CE">
        <w:rPr>
          <w:bCs/>
        </w:rPr>
        <w:t>du code monétaire et financier</w:t>
      </w:r>
    </w:p>
    <w:p w14:paraId="0AEF00C4" w14:textId="77777777" w:rsidR="00DE25DD" w:rsidRPr="0018249B" w:rsidRDefault="00DE25DD" w:rsidP="00DE25DD">
      <w:pPr>
        <w:pStyle w:val="Paragraphedeliste"/>
        <w:spacing w:after="120"/>
        <w:ind w:left="708"/>
        <w:contextualSpacing w:val="0"/>
        <w:jc w:val="both"/>
        <w:rPr>
          <w:bCs/>
        </w:rPr>
      </w:pPr>
      <w:r>
        <w:rPr>
          <w:bCs/>
        </w:rPr>
        <w:t xml:space="preserve">        </w:t>
      </w:r>
      <w:r>
        <w:rPr>
          <w:bCs/>
        </w:rPr>
        <w:t>Non Applicable à  Chaussier Gestion</w:t>
      </w:r>
    </w:p>
    <w:p w14:paraId="6D1D66A0" w14:textId="25BE271B" w:rsidR="00DE25DD" w:rsidRPr="00413A24" w:rsidRDefault="00DE25DD" w:rsidP="00F21720">
      <w:pPr>
        <w:pStyle w:val="Paragraphedeliste"/>
        <w:spacing w:after="120"/>
        <w:ind w:left="284"/>
        <w:contextualSpacing w:val="0"/>
        <w:jc w:val="both"/>
        <w:rPr>
          <w:bCs/>
        </w:rPr>
      </w:pPr>
    </w:p>
    <w:p w14:paraId="6D7F805D" w14:textId="1C022284" w:rsidR="00C77FE0" w:rsidRPr="004378B3" w:rsidRDefault="00C77FE0" w:rsidP="00F21720">
      <w:pPr>
        <w:pStyle w:val="Paragraphedeliste"/>
        <w:numPr>
          <w:ilvl w:val="0"/>
          <w:numId w:val="2"/>
        </w:numPr>
        <w:spacing w:after="60"/>
        <w:contextualSpacing w:val="0"/>
        <w:jc w:val="both"/>
        <w:rPr>
          <w:b/>
          <w:bCs/>
        </w:rPr>
      </w:pPr>
      <w:r w:rsidRPr="004378B3">
        <w:rPr>
          <w:b/>
          <w:bCs/>
        </w:rPr>
        <w:t xml:space="preserve">Liste des produits financiers mentionnés en vertu de l'article 8 et 9 du Règlement </w:t>
      </w:r>
      <w:r w:rsidR="005D71F8" w:rsidRPr="005D71F8">
        <w:rPr>
          <w:b/>
          <w:bCs/>
        </w:rPr>
        <w:t>(UE) 2019/2088 du Parlement Européen et du Conseil du 27 novembre 2019 sur la publication d’informations en matière de durabilité dans le secteur des services financiers</w:t>
      </w:r>
      <w:r w:rsidRPr="004378B3">
        <w:rPr>
          <w:b/>
          <w:bCs/>
        </w:rPr>
        <w:t xml:space="preserve"> (SFDR) </w:t>
      </w:r>
    </w:p>
    <w:p w14:paraId="4CABB03B" w14:textId="1192C4C7" w:rsidR="0018249B" w:rsidRPr="0018249B" w:rsidRDefault="0018249B" w:rsidP="0018249B">
      <w:pPr>
        <w:pStyle w:val="Paragraphedeliste"/>
        <w:spacing w:after="120"/>
        <w:ind w:left="709"/>
        <w:contextualSpacing w:val="0"/>
        <w:jc w:val="both"/>
        <w:rPr>
          <w:bCs/>
        </w:rPr>
      </w:pPr>
      <w:r w:rsidRPr="005D71F8">
        <w:rPr>
          <w:bCs/>
        </w:rPr>
        <w:t>Liste des produits financiers et part globale, en pourcentage, des encours sous gestion prenant en compte des critères environnementaux, sociaux et de qualité de gouvernance dans le montant total des encours gérés par l'entité</w:t>
      </w:r>
    </w:p>
    <w:p w14:paraId="758DA4A8" w14:textId="7EA47BC9" w:rsidR="005D71F8" w:rsidRDefault="00C77FE0" w:rsidP="00F21720">
      <w:pPr>
        <w:pStyle w:val="Paragraphedeliste"/>
        <w:spacing w:after="120"/>
        <w:ind w:left="360"/>
        <w:contextualSpacing w:val="0"/>
        <w:jc w:val="both"/>
        <w:rPr>
          <w:bCs/>
        </w:rPr>
      </w:pPr>
      <w:r w:rsidRPr="00413A24">
        <w:rPr>
          <w:bCs/>
        </w:rPr>
        <w:t>Les entités assujetties aux obligations de publication de l’article 29 de</w:t>
      </w:r>
      <w:r w:rsidR="00AC1EC3">
        <w:rPr>
          <w:bCs/>
        </w:rPr>
        <w:t xml:space="preserve"> la loi relative à l’énergie et </w:t>
      </w:r>
      <w:r w:rsidRPr="00413A24">
        <w:rPr>
          <w:bCs/>
        </w:rPr>
        <w:t xml:space="preserve">au climat fournissent les informations prévues au c) </w:t>
      </w:r>
      <w:r w:rsidR="005D71F8">
        <w:rPr>
          <w:bCs/>
        </w:rPr>
        <w:t xml:space="preserve">du 1° </w:t>
      </w:r>
      <w:r w:rsidRPr="00413A24">
        <w:rPr>
          <w:bCs/>
        </w:rPr>
        <w:t xml:space="preserve">du III </w:t>
      </w:r>
      <w:r w:rsidR="00833412">
        <w:rPr>
          <w:bCs/>
        </w:rPr>
        <w:t xml:space="preserve">de </w:t>
      </w:r>
      <w:r w:rsidR="00962586">
        <w:rPr>
          <w:bCs/>
        </w:rPr>
        <w:t>l’article D. 533-16-</w:t>
      </w:r>
      <w:proofErr w:type="gramStart"/>
      <w:r w:rsidR="00962586">
        <w:rPr>
          <w:bCs/>
        </w:rPr>
        <w:t>1 .</w:t>
      </w:r>
      <w:proofErr w:type="gramEnd"/>
      <w:r w:rsidR="00E771CE">
        <w:rPr>
          <w:bCs/>
        </w:rPr>
        <w:t xml:space="preserve"> </w:t>
      </w:r>
      <w:proofErr w:type="gramStart"/>
      <w:r w:rsidR="00E771CE">
        <w:rPr>
          <w:bCs/>
        </w:rPr>
        <w:t>du</w:t>
      </w:r>
      <w:proofErr w:type="gramEnd"/>
      <w:r w:rsidR="00E771CE">
        <w:rPr>
          <w:bCs/>
        </w:rPr>
        <w:t xml:space="preserve"> code monétaire et financier</w:t>
      </w:r>
    </w:p>
    <w:p w14:paraId="35D41157" w14:textId="75C6AE88" w:rsidR="0018249B" w:rsidRPr="0018249B" w:rsidRDefault="000C7BC0">
      <w:pPr>
        <w:pStyle w:val="Paragraphedeliste"/>
        <w:spacing w:after="120"/>
        <w:ind w:left="708"/>
        <w:contextualSpacing w:val="0"/>
        <w:jc w:val="both"/>
        <w:rPr>
          <w:bCs/>
        </w:rPr>
      </w:pPr>
      <w:r>
        <w:rPr>
          <w:bCs/>
        </w:rPr>
        <w:t xml:space="preserve">       </w:t>
      </w:r>
      <w:bookmarkStart w:id="0" w:name="_GoBack"/>
      <w:bookmarkEnd w:id="0"/>
      <w:r w:rsidR="00DE25DD">
        <w:rPr>
          <w:bCs/>
        </w:rPr>
        <w:t>Non Applicable à  Chaussier Gestion</w:t>
      </w:r>
    </w:p>
    <w:sectPr w:rsidR="0018249B" w:rsidRPr="0018249B">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DE95B" w16cex:dateUtc="2022-12-09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81DC2E" w16cid:durableId="273DE9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F41DE"/>
    <w:multiLevelType w:val="multilevel"/>
    <w:tmpl w:val="77266D22"/>
    <w:lvl w:ilvl="0">
      <w:start w:val="1"/>
      <w:numFmt w:val="upperLetter"/>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9F51AA3"/>
    <w:multiLevelType w:val="multilevel"/>
    <w:tmpl w:val="68760598"/>
    <w:lvl w:ilvl="0">
      <w:start w:val="1"/>
      <w:numFmt w:val="decimal"/>
      <w:lvlText w:val="%1."/>
      <w:lvlJc w:val="left"/>
      <w:pPr>
        <w:ind w:left="360" w:hanging="360"/>
      </w:pPr>
      <w:rPr>
        <w:rFonts w:hint="default"/>
        <w:b w:val="0"/>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D45716D"/>
    <w:multiLevelType w:val="hybridMultilevel"/>
    <w:tmpl w:val="4D2611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7D"/>
    <w:rsid w:val="00027875"/>
    <w:rsid w:val="000938D8"/>
    <w:rsid w:val="000C7BC0"/>
    <w:rsid w:val="000E1CE9"/>
    <w:rsid w:val="0018249B"/>
    <w:rsid w:val="001E5C68"/>
    <w:rsid w:val="001F0E67"/>
    <w:rsid w:val="0020459B"/>
    <w:rsid w:val="002E5650"/>
    <w:rsid w:val="00301282"/>
    <w:rsid w:val="00316D98"/>
    <w:rsid w:val="00350F21"/>
    <w:rsid w:val="00394F68"/>
    <w:rsid w:val="003C37AD"/>
    <w:rsid w:val="00413A24"/>
    <w:rsid w:val="00423429"/>
    <w:rsid w:val="00435D8E"/>
    <w:rsid w:val="004378B3"/>
    <w:rsid w:val="00461B2A"/>
    <w:rsid w:val="00503747"/>
    <w:rsid w:val="00523175"/>
    <w:rsid w:val="005B2865"/>
    <w:rsid w:val="005C5403"/>
    <w:rsid w:val="005D71F8"/>
    <w:rsid w:val="006156ED"/>
    <w:rsid w:val="006231F1"/>
    <w:rsid w:val="00624DF7"/>
    <w:rsid w:val="00655481"/>
    <w:rsid w:val="006838D7"/>
    <w:rsid w:val="006A7A7D"/>
    <w:rsid w:val="006B795D"/>
    <w:rsid w:val="007364E5"/>
    <w:rsid w:val="00755867"/>
    <w:rsid w:val="00766524"/>
    <w:rsid w:val="00786EBA"/>
    <w:rsid w:val="007A0488"/>
    <w:rsid w:val="00814D31"/>
    <w:rsid w:val="00816C78"/>
    <w:rsid w:val="00816CD9"/>
    <w:rsid w:val="00833412"/>
    <w:rsid w:val="00876F9A"/>
    <w:rsid w:val="008C13F5"/>
    <w:rsid w:val="00962586"/>
    <w:rsid w:val="009708E0"/>
    <w:rsid w:val="00981A17"/>
    <w:rsid w:val="00981F86"/>
    <w:rsid w:val="00A41624"/>
    <w:rsid w:val="00A57CB0"/>
    <w:rsid w:val="00A64208"/>
    <w:rsid w:val="00A876A9"/>
    <w:rsid w:val="00AA66D1"/>
    <w:rsid w:val="00AC1EC3"/>
    <w:rsid w:val="00AE0640"/>
    <w:rsid w:val="00B043A0"/>
    <w:rsid w:val="00B22281"/>
    <w:rsid w:val="00BC7BCD"/>
    <w:rsid w:val="00C77FE0"/>
    <w:rsid w:val="00D11FEE"/>
    <w:rsid w:val="00D31676"/>
    <w:rsid w:val="00DE25DD"/>
    <w:rsid w:val="00DE5A9F"/>
    <w:rsid w:val="00E771CE"/>
    <w:rsid w:val="00EA7134"/>
    <w:rsid w:val="00EF3A48"/>
    <w:rsid w:val="00F02963"/>
    <w:rsid w:val="00F211F5"/>
    <w:rsid w:val="00F21720"/>
    <w:rsid w:val="00FA69FD"/>
    <w:rsid w:val="00FC574D"/>
    <w:rsid w:val="00FD4C95"/>
    <w:rsid w:val="00FE3F7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79B2"/>
  <w15:chartTrackingRefBased/>
  <w15:docId w15:val="{AAEB8A1C-2F50-4E25-82DE-71036F19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5650"/>
    <w:pPr>
      <w:ind w:left="720"/>
      <w:contextualSpacing/>
    </w:pPr>
  </w:style>
  <w:style w:type="character" w:styleId="Marquedecommentaire">
    <w:name w:val="annotation reference"/>
    <w:basedOn w:val="Policepardfaut"/>
    <w:uiPriority w:val="99"/>
    <w:semiHidden/>
    <w:unhideWhenUsed/>
    <w:rsid w:val="00766524"/>
    <w:rPr>
      <w:sz w:val="16"/>
      <w:szCs w:val="16"/>
    </w:rPr>
  </w:style>
  <w:style w:type="paragraph" w:styleId="Commentaire">
    <w:name w:val="annotation text"/>
    <w:basedOn w:val="Normal"/>
    <w:link w:val="CommentaireCar"/>
    <w:uiPriority w:val="99"/>
    <w:unhideWhenUsed/>
    <w:rsid w:val="00766524"/>
    <w:pPr>
      <w:spacing w:line="240" w:lineRule="auto"/>
    </w:pPr>
    <w:rPr>
      <w:sz w:val="20"/>
      <w:szCs w:val="20"/>
    </w:rPr>
  </w:style>
  <w:style w:type="character" w:customStyle="1" w:styleId="CommentaireCar">
    <w:name w:val="Commentaire Car"/>
    <w:basedOn w:val="Policepardfaut"/>
    <w:link w:val="Commentaire"/>
    <w:uiPriority w:val="99"/>
    <w:rsid w:val="00766524"/>
    <w:rPr>
      <w:sz w:val="20"/>
      <w:szCs w:val="20"/>
    </w:rPr>
  </w:style>
  <w:style w:type="paragraph" w:styleId="Objetducommentaire">
    <w:name w:val="annotation subject"/>
    <w:basedOn w:val="Commentaire"/>
    <w:next w:val="Commentaire"/>
    <w:link w:val="ObjetducommentaireCar"/>
    <w:uiPriority w:val="99"/>
    <w:semiHidden/>
    <w:unhideWhenUsed/>
    <w:rsid w:val="00766524"/>
    <w:rPr>
      <w:b/>
      <w:bCs/>
    </w:rPr>
  </w:style>
  <w:style w:type="character" w:customStyle="1" w:styleId="ObjetducommentaireCar">
    <w:name w:val="Objet du commentaire Car"/>
    <w:basedOn w:val="CommentaireCar"/>
    <w:link w:val="Objetducommentaire"/>
    <w:uiPriority w:val="99"/>
    <w:semiHidden/>
    <w:rsid w:val="00766524"/>
    <w:rPr>
      <w:b/>
      <w:bCs/>
      <w:sz w:val="20"/>
      <w:szCs w:val="20"/>
    </w:rPr>
  </w:style>
  <w:style w:type="paragraph" w:styleId="Textedebulles">
    <w:name w:val="Balloon Text"/>
    <w:basedOn w:val="Normal"/>
    <w:link w:val="TextedebullesCar"/>
    <w:uiPriority w:val="99"/>
    <w:semiHidden/>
    <w:unhideWhenUsed/>
    <w:rsid w:val="007665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6524"/>
    <w:rPr>
      <w:rFonts w:ascii="Segoe UI" w:hAnsi="Segoe UI" w:cs="Segoe UI"/>
      <w:sz w:val="18"/>
      <w:szCs w:val="18"/>
    </w:rPr>
  </w:style>
  <w:style w:type="paragraph" w:customStyle="1" w:styleId="Default">
    <w:name w:val="Default"/>
    <w:rsid w:val="007A0488"/>
    <w:pPr>
      <w:autoSpaceDE w:val="0"/>
      <w:autoSpaceDN w:val="0"/>
      <w:adjustRightInd w:val="0"/>
      <w:spacing w:after="0" w:line="240" w:lineRule="auto"/>
    </w:pPr>
    <w:rPr>
      <w:rFonts w:ascii="EUAlbertina" w:hAnsi="EUAlbertina" w:cs="EUAlbertina"/>
      <w:color w:val="000000"/>
      <w:sz w:val="24"/>
      <w:szCs w:val="24"/>
      <w:lang w:val="en-US"/>
    </w:rPr>
  </w:style>
  <w:style w:type="paragraph" w:styleId="Rvision">
    <w:name w:val="Revision"/>
    <w:hidden/>
    <w:uiPriority w:val="99"/>
    <w:semiHidden/>
    <w:rsid w:val="007A04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0"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C1AFF57B16E448BAC5E1164385BEC8" ma:contentTypeVersion="0" ma:contentTypeDescription="Crée un document." ma:contentTypeScope="" ma:versionID="fecb406150e72bb157feb7f44fc02f30">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4EF15-AAE7-4F62-A535-D6A6764BE7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E27462-4913-4929-ADA1-2FE155ABB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E8C82D-AF55-40BD-9EC9-48E42E497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395</Words>
  <Characters>2176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TORCAT Jean (SGACPR DCA2)</dc:creator>
  <cp:keywords/>
  <dc:description/>
  <cp:lastModifiedBy>Compte Microsoft</cp:lastModifiedBy>
  <cp:revision>3</cp:revision>
  <dcterms:created xsi:type="dcterms:W3CDTF">2023-06-28T13:10:00Z</dcterms:created>
  <dcterms:modified xsi:type="dcterms:W3CDTF">2023-06-28T13:31:00Z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0x0101003DC1AFF57B16E448BAC5E1164385BEC8</vt:lpwstr>
  </property>
</Properties>
</file>