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BC02" w14:textId="7092984C" w:rsidR="00814DC1" w:rsidRDefault="00814DC1" w:rsidP="00814DC1">
      <w:pPr>
        <w:jc w:val="center"/>
        <w:rPr>
          <w:rFonts w:ascii="Arial" w:hAnsi="Arial" w:cs="Arial"/>
          <w:b/>
          <w:bCs/>
          <w:sz w:val="24"/>
          <w:szCs w:val="24"/>
          <w:u w:val="single"/>
        </w:rPr>
      </w:pPr>
      <w:r w:rsidRPr="00814DC1">
        <w:rPr>
          <w:rFonts w:ascii="Arial" w:hAnsi="Arial" w:cs="Arial"/>
          <w:b/>
          <w:bCs/>
          <w:sz w:val="24"/>
          <w:szCs w:val="24"/>
          <w:u w:val="single"/>
        </w:rPr>
        <w:t>RAPPORT 29 LEC SUR L’EXERCICE 2022</w:t>
      </w:r>
    </w:p>
    <w:p w14:paraId="138A74A9" w14:textId="77777777" w:rsidR="00814DC1" w:rsidRPr="00814DC1" w:rsidRDefault="00814DC1" w:rsidP="00814DC1">
      <w:pPr>
        <w:jc w:val="center"/>
        <w:rPr>
          <w:rFonts w:ascii="Arial" w:hAnsi="Arial" w:cs="Arial"/>
          <w:b/>
          <w:bCs/>
          <w:sz w:val="24"/>
          <w:szCs w:val="24"/>
          <w:u w:val="single"/>
        </w:rPr>
      </w:pPr>
    </w:p>
    <w:p w14:paraId="296E3A5D" w14:textId="1EB62D5B" w:rsidR="004D2BA3" w:rsidRDefault="004D2BA3" w:rsidP="004D2BA3">
      <w:pPr>
        <w:rPr>
          <w:rFonts w:ascii="Arial" w:hAnsi="Arial" w:cs="Arial"/>
          <w:b/>
          <w:bCs/>
          <w:sz w:val="16"/>
          <w:szCs w:val="16"/>
          <w:u w:val="single"/>
        </w:rPr>
      </w:pPr>
      <w:r w:rsidRPr="00DE5E01">
        <w:rPr>
          <w:rFonts w:ascii="Arial" w:hAnsi="Arial" w:cs="Arial"/>
          <w:b/>
          <w:bCs/>
          <w:sz w:val="16"/>
          <w:szCs w:val="16"/>
          <w:u w:val="single"/>
        </w:rPr>
        <w:t xml:space="preserve">Préambule </w:t>
      </w:r>
    </w:p>
    <w:p w14:paraId="5D0D6A8C" w14:textId="77777777" w:rsidR="00313B40" w:rsidRPr="00DE5E01" w:rsidRDefault="00313B40" w:rsidP="004D2BA3">
      <w:pPr>
        <w:rPr>
          <w:rFonts w:ascii="Arial" w:hAnsi="Arial" w:cs="Arial"/>
          <w:b/>
          <w:bCs/>
          <w:sz w:val="16"/>
          <w:szCs w:val="16"/>
          <w:u w:val="single"/>
        </w:rPr>
      </w:pPr>
    </w:p>
    <w:p w14:paraId="3E2FBBA5" w14:textId="6BBAC82A" w:rsidR="00E6604E" w:rsidRDefault="004D2BA3" w:rsidP="004D2BA3">
      <w:pPr>
        <w:rPr>
          <w:rFonts w:ascii="Arial" w:hAnsi="Arial" w:cs="Arial"/>
          <w:sz w:val="16"/>
          <w:szCs w:val="16"/>
        </w:rPr>
      </w:pPr>
      <w:r w:rsidRPr="00DE5E01">
        <w:rPr>
          <w:rFonts w:ascii="Arial" w:hAnsi="Arial" w:cs="Arial"/>
          <w:sz w:val="16"/>
          <w:szCs w:val="16"/>
        </w:rPr>
        <w:t xml:space="preserve">Les sociétés de gestion, sont tenues de respecter des exigences de transparence en matière ESG, notamment depuis l’adoption de la loi énergie climat (LEC) par le gouvernement français et la publication le 27 mai 2021 du décret d’application de son Article 29, avec pour objectif de contribuer à la mise en œuvre des Accords de Paris, en contribuant au verdissement de la finance, à l’accélération de la transition écologique et sociale. Cet article vient notamment renforcer les dispositions de l’article 173-VI de la loi transition énergétique. </w:t>
      </w:r>
    </w:p>
    <w:p w14:paraId="5890B00E" w14:textId="2CF11775" w:rsidR="004D2BA3" w:rsidRDefault="004D2BA3" w:rsidP="004D2BA3">
      <w:pPr>
        <w:rPr>
          <w:rFonts w:ascii="Arial" w:hAnsi="Arial" w:cs="Arial"/>
          <w:sz w:val="16"/>
          <w:szCs w:val="16"/>
        </w:rPr>
      </w:pPr>
      <w:r w:rsidRPr="00DE5E01">
        <w:rPr>
          <w:rFonts w:ascii="Arial" w:hAnsi="Arial" w:cs="Arial"/>
          <w:sz w:val="16"/>
          <w:szCs w:val="16"/>
        </w:rPr>
        <w:t xml:space="preserve">A ce titre, les sociétés de gestion doivent communiquer sur : </w:t>
      </w:r>
    </w:p>
    <w:p w14:paraId="18AE3903" w14:textId="38D60533" w:rsidR="004D2BA3" w:rsidRPr="00DE5E01" w:rsidRDefault="004D2BA3" w:rsidP="004D2BA3">
      <w:pPr>
        <w:pStyle w:val="ListParagraph"/>
        <w:numPr>
          <w:ilvl w:val="0"/>
          <w:numId w:val="4"/>
        </w:numPr>
        <w:rPr>
          <w:rFonts w:ascii="Arial" w:hAnsi="Arial" w:cs="Arial"/>
          <w:sz w:val="16"/>
          <w:szCs w:val="16"/>
        </w:rPr>
      </w:pPr>
      <w:r w:rsidRPr="00DE5E01">
        <w:rPr>
          <w:rFonts w:ascii="Arial" w:hAnsi="Arial" w:cs="Arial"/>
          <w:sz w:val="16"/>
          <w:szCs w:val="16"/>
        </w:rPr>
        <w:t xml:space="preserve">la manière dont elles intègrent les risques associés au changement climatique et à la biodiversité dans leurs décisions d’investissement </w:t>
      </w:r>
    </w:p>
    <w:p w14:paraId="6CAC017B" w14:textId="77777777" w:rsidR="004D2BA3" w:rsidRPr="00DE5E01" w:rsidRDefault="004D2BA3" w:rsidP="004D2BA3">
      <w:pPr>
        <w:pStyle w:val="ListParagraph"/>
        <w:rPr>
          <w:rFonts w:ascii="Arial" w:hAnsi="Arial" w:cs="Arial"/>
          <w:sz w:val="16"/>
          <w:szCs w:val="16"/>
        </w:rPr>
      </w:pPr>
    </w:p>
    <w:p w14:paraId="682F280D" w14:textId="6ED912AC" w:rsidR="004D2BA3" w:rsidRPr="00DE5E01" w:rsidRDefault="004D2BA3" w:rsidP="004D2BA3">
      <w:pPr>
        <w:pStyle w:val="ListParagraph"/>
        <w:numPr>
          <w:ilvl w:val="0"/>
          <w:numId w:val="4"/>
        </w:numPr>
        <w:rPr>
          <w:rFonts w:ascii="Arial" w:hAnsi="Arial" w:cs="Arial"/>
          <w:sz w:val="16"/>
          <w:szCs w:val="16"/>
        </w:rPr>
      </w:pPr>
      <w:r w:rsidRPr="00DE5E01">
        <w:rPr>
          <w:rFonts w:ascii="Arial" w:hAnsi="Arial" w:cs="Arial"/>
          <w:sz w:val="16"/>
          <w:szCs w:val="16"/>
        </w:rPr>
        <w:t>leur politique de prise en compte, dans leur stratégie d'investissement, des critères environnementaux, sociaux et de qualité de gouvernance et des moyens mis en œuvre pour contribuer à la transition énergétique et écologique ainsi que la stratégie de mise en œuvre de cette politique</w:t>
      </w:r>
    </w:p>
    <w:p w14:paraId="7F33AFCA" w14:textId="77777777" w:rsidR="004D2BA3" w:rsidRPr="00DE5E01" w:rsidRDefault="004D2BA3" w:rsidP="004D2BA3">
      <w:pPr>
        <w:rPr>
          <w:rFonts w:ascii="Arial" w:hAnsi="Arial" w:cs="Arial"/>
          <w:sz w:val="16"/>
          <w:szCs w:val="16"/>
        </w:rPr>
      </w:pPr>
    </w:p>
    <w:p w14:paraId="272F5EE3" w14:textId="7343751C" w:rsidR="004D2BA3" w:rsidRDefault="004D2BA3" w:rsidP="004D2BA3">
      <w:pPr>
        <w:rPr>
          <w:rFonts w:ascii="Arial" w:hAnsi="Arial" w:cs="Arial"/>
          <w:sz w:val="16"/>
          <w:szCs w:val="16"/>
        </w:rPr>
      </w:pPr>
      <w:r w:rsidRPr="00DE5E01">
        <w:rPr>
          <w:rFonts w:ascii="Arial" w:hAnsi="Arial" w:cs="Arial"/>
          <w:sz w:val="16"/>
          <w:szCs w:val="16"/>
        </w:rPr>
        <w:t xml:space="preserve">Ce rapport porte sur l’exercice </w:t>
      </w:r>
      <w:r w:rsidR="00DA79DF">
        <w:rPr>
          <w:rFonts w:ascii="Arial" w:hAnsi="Arial" w:cs="Arial"/>
          <w:sz w:val="16"/>
          <w:szCs w:val="16"/>
        </w:rPr>
        <w:t>2022</w:t>
      </w:r>
    </w:p>
    <w:p w14:paraId="71116D6E" w14:textId="77777777" w:rsidR="006E3487" w:rsidRPr="00DE5E01" w:rsidRDefault="006E3487" w:rsidP="004D2BA3">
      <w:pPr>
        <w:rPr>
          <w:rFonts w:ascii="Arial" w:hAnsi="Arial" w:cs="Arial"/>
          <w:sz w:val="16"/>
          <w:szCs w:val="16"/>
        </w:rPr>
      </w:pPr>
    </w:p>
    <w:p w14:paraId="26D62044" w14:textId="77777777" w:rsidR="004D2BA3" w:rsidRPr="00DE5E01" w:rsidRDefault="004D2BA3" w:rsidP="004D2BA3">
      <w:pPr>
        <w:rPr>
          <w:rFonts w:ascii="Arial" w:hAnsi="Arial" w:cs="Arial"/>
          <w:sz w:val="16"/>
          <w:szCs w:val="16"/>
        </w:rPr>
      </w:pPr>
    </w:p>
    <w:p w14:paraId="27DACCB3" w14:textId="4C1C92AC" w:rsidR="006A7A7D" w:rsidRPr="00DE5E01" w:rsidRDefault="006A7A7D" w:rsidP="006A7A7D">
      <w:pPr>
        <w:jc w:val="center"/>
        <w:rPr>
          <w:rFonts w:ascii="Arial" w:hAnsi="Arial" w:cs="Arial"/>
          <w:i/>
          <w:iCs/>
          <w:sz w:val="16"/>
          <w:szCs w:val="16"/>
          <w:u w:val="single"/>
        </w:rPr>
      </w:pPr>
      <w:r w:rsidRPr="00DE5E01">
        <w:rPr>
          <w:rFonts w:ascii="Arial" w:hAnsi="Arial" w:cs="Arial"/>
          <w:i/>
          <w:iCs/>
          <w:sz w:val="16"/>
          <w:szCs w:val="16"/>
          <w:u w:val="single"/>
        </w:rPr>
        <w:t>ANNEXE A</w:t>
      </w:r>
      <w:r w:rsidR="006838D7" w:rsidRPr="00DE5E01">
        <w:rPr>
          <w:rFonts w:ascii="Arial" w:hAnsi="Arial" w:cs="Arial"/>
          <w:i/>
          <w:iCs/>
          <w:sz w:val="16"/>
          <w:szCs w:val="16"/>
          <w:u w:val="single"/>
        </w:rPr>
        <w:t xml:space="preserve"> </w:t>
      </w:r>
    </w:p>
    <w:p w14:paraId="4EBBEAB3" w14:textId="77777777" w:rsidR="004D2BA3" w:rsidRPr="00DE5E01" w:rsidRDefault="004D2BA3" w:rsidP="006A7A7D">
      <w:pPr>
        <w:jc w:val="center"/>
        <w:rPr>
          <w:rFonts w:ascii="Arial" w:hAnsi="Arial" w:cs="Arial"/>
          <w:i/>
          <w:iCs/>
          <w:sz w:val="16"/>
          <w:szCs w:val="16"/>
          <w:u w:val="single"/>
        </w:rPr>
      </w:pPr>
    </w:p>
    <w:p w14:paraId="0FEBBFA7" w14:textId="29ADD3FB" w:rsidR="006A7A7D" w:rsidRPr="00DE5E01" w:rsidRDefault="006A7A7D" w:rsidP="006A7A7D">
      <w:pPr>
        <w:jc w:val="center"/>
        <w:rPr>
          <w:rFonts w:ascii="Arial" w:hAnsi="Arial" w:cs="Arial"/>
          <w:b/>
          <w:bCs/>
          <w:caps/>
          <w:sz w:val="16"/>
          <w:szCs w:val="16"/>
        </w:rPr>
      </w:pPr>
      <w:r w:rsidRPr="00DE5E01">
        <w:rPr>
          <w:rFonts w:ascii="Arial" w:hAnsi="Arial" w:cs="Arial"/>
          <w:b/>
          <w:bCs/>
          <w:caps/>
          <w:sz w:val="16"/>
          <w:szCs w:val="16"/>
        </w:rPr>
        <w:t xml:space="preserve">Structure des informations de durabilité du rapport annuel </w:t>
      </w:r>
      <w:r w:rsidR="00316D98" w:rsidRPr="00DE5E01">
        <w:rPr>
          <w:rFonts w:ascii="Arial" w:hAnsi="Arial" w:cs="Arial"/>
          <w:b/>
          <w:bCs/>
          <w:caps/>
          <w:sz w:val="16"/>
          <w:szCs w:val="16"/>
        </w:rPr>
        <w:t xml:space="preserve">conformément aux dispositions prévues au </w:t>
      </w:r>
      <w:r w:rsidRPr="00DE5E01">
        <w:rPr>
          <w:rFonts w:ascii="Arial" w:hAnsi="Arial" w:cs="Arial"/>
          <w:b/>
          <w:bCs/>
          <w:caps/>
          <w:sz w:val="16"/>
          <w:szCs w:val="16"/>
        </w:rPr>
        <w:t>V de l’article D.533-16-1</w:t>
      </w:r>
      <w:r w:rsidR="007364E5" w:rsidRPr="00DE5E01">
        <w:rPr>
          <w:rFonts w:ascii="Arial" w:hAnsi="Arial" w:cs="Arial"/>
          <w:b/>
          <w:bCs/>
          <w:caps/>
          <w:sz w:val="16"/>
          <w:szCs w:val="16"/>
        </w:rPr>
        <w:t xml:space="preserve"> du code monétaire et financier</w:t>
      </w:r>
      <w:r w:rsidR="006231F1" w:rsidRPr="00DE5E01">
        <w:rPr>
          <w:rFonts w:ascii="Arial" w:hAnsi="Arial" w:cs="Arial"/>
          <w:b/>
          <w:bCs/>
          <w:caps/>
          <w:sz w:val="16"/>
          <w:szCs w:val="16"/>
        </w:rPr>
        <w:t xml:space="preserve"> pour les organismes </w:t>
      </w:r>
      <w:r w:rsidR="00FD4C95" w:rsidRPr="00DE5E01">
        <w:rPr>
          <w:rFonts w:ascii="Arial" w:hAnsi="Arial" w:cs="Arial"/>
          <w:b/>
          <w:bCs/>
          <w:caps/>
          <w:sz w:val="16"/>
          <w:szCs w:val="16"/>
        </w:rPr>
        <w:t xml:space="preserve">ayant moins de 500 millions d'euros de </w:t>
      </w:r>
      <w:r w:rsidR="00833412" w:rsidRPr="00DE5E01">
        <w:rPr>
          <w:rFonts w:ascii="Arial" w:hAnsi="Arial" w:cs="Arial"/>
          <w:b/>
          <w:bCs/>
          <w:caps/>
          <w:sz w:val="16"/>
          <w:szCs w:val="16"/>
        </w:rPr>
        <w:t xml:space="preserve">total </w:t>
      </w:r>
      <w:r w:rsidR="00523175" w:rsidRPr="00DE5E01">
        <w:rPr>
          <w:rFonts w:ascii="Arial" w:hAnsi="Arial" w:cs="Arial"/>
          <w:b/>
          <w:bCs/>
          <w:caps/>
          <w:sz w:val="16"/>
          <w:szCs w:val="16"/>
        </w:rPr>
        <w:t>de bilan ou d’encours</w:t>
      </w:r>
    </w:p>
    <w:p w14:paraId="1C3A6E46" w14:textId="77777777" w:rsidR="005D71F8" w:rsidRPr="00DE5E01" w:rsidRDefault="005D71F8" w:rsidP="006A7A7D">
      <w:pPr>
        <w:jc w:val="center"/>
        <w:rPr>
          <w:rFonts w:ascii="Arial" w:hAnsi="Arial" w:cs="Arial"/>
          <w:b/>
          <w:bCs/>
          <w:sz w:val="16"/>
          <w:szCs w:val="16"/>
        </w:rPr>
      </w:pPr>
    </w:p>
    <w:p w14:paraId="6D6BB2ED" w14:textId="51AEBB11" w:rsidR="002E5650" w:rsidRPr="00DE5E01" w:rsidRDefault="002E5650" w:rsidP="00F21720">
      <w:pPr>
        <w:pStyle w:val="ListParagraph"/>
        <w:numPr>
          <w:ilvl w:val="0"/>
          <w:numId w:val="2"/>
        </w:numPr>
        <w:spacing w:after="120"/>
        <w:ind w:left="284" w:hanging="284"/>
        <w:contextualSpacing w:val="0"/>
        <w:jc w:val="both"/>
        <w:rPr>
          <w:rFonts w:ascii="Arial" w:hAnsi="Arial" w:cs="Arial"/>
          <w:b/>
          <w:bCs/>
          <w:sz w:val="16"/>
          <w:szCs w:val="16"/>
        </w:rPr>
      </w:pPr>
      <w:r w:rsidRPr="00DE5E01">
        <w:rPr>
          <w:rFonts w:ascii="Arial" w:hAnsi="Arial" w:cs="Arial"/>
          <w:b/>
          <w:bCs/>
          <w:sz w:val="16"/>
          <w:szCs w:val="16"/>
        </w:rPr>
        <w:t>Démarche générale de l’entité sur la prise en compte des critères environnementaux, sociaux et de qualité de gouvernance</w:t>
      </w:r>
    </w:p>
    <w:p w14:paraId="6AE14183" w14:textId="77777777" w:rsidR="00981F86" w:rsidRDefault="00981F86" w:rsidP="00F21720">
      <w:pPr>
        <w:pStyle w:val="ListParagraph"/>
        <w:numPr>
          <w:ilvl w:val="1"/>
          <w:numId w:val="2"/>
        </w:numPr>
        <w:spacing w:after="60"/>
        <w:ind w:left="709" w:hanging="425"/>
        <w:contextualSpacing w:val="0"/>
        <w:jc w:val="both"/>
        <w:rPr>
          <w:rFonts w:ascii="Arial" w:hAnsi="Arial" w:cs="Arial"/>
          <w:b/>
          <w:bCs/>
          <w:color w:val="00B050"/>
          <w:sz w:val="16"/>
          <w:szCs w:val="16"/>
        </w:rPr>
      </w:pPr>
      <w:r w:rsidRPr="00DE5E01">
        <w:rPr>
          <w:rFonts w:ascii="Arial" w:hAnsi="Arial" w:cs="Arial"/>
          <w:b/>
          <w:bCs/>
          <w:color w:val="00B050"/>
          <w:sz w:val="16"/>
          <w:szCs w:val="16"/>
        </w:rPr>
        <w:t>Résumé de la démarche</w:t>
      </w:r>
    </w:p>
    <w:p w14:paraId="3F94DB94" w14:textId="77777777" w:rsidR="00DA79DF" w:rsidRPr="00DA79DF" w:rsidRDefault="00DA79DF" w:rsidP="00DA79DF">
      <w:pPr>
        <w:spacing w:after="60"/>
        <w:ind w:left="284"/>
        <w:jc w:val="both"/>
        <w:rPr>
          <w:rFonts w:ascii="Arial" w:hAnsi="Arial" w:cs="Arial"/>
          <w:b/>
          <w:bCs/>
          <w:color w:val="00B050"/>
          <w:sz w:val="16"/>
          <w:szCs w:val="16"/>
        </w:rPr>
      </w:pPr>
    </w:p>
    <w:p w14:paraId="4CB88BBD" w14:textId="77777777" w:rsidR="00DA79DF" w:rsidRPr="00DA79DF" w:rsidRDefault="00DA79DF" w:rsidP="00DA79DF">
      <w:pPr>
        <w:spacing w:after="60"/>
        <w:ind w:left="284"/>
        <w:jc w:val="both"/>
        <w:rPr>
          <w:rFonts w:ascii="Arial" w:hAnsi="Arial" w:cs="Arial"/>
          <w:sz w:val="16"/>
          <w:szCs w:val="16"/>
        </w:rPr>
      </w:pPr>
      <w:r w:rsidRPr="00DA79DF">
        <w:rPr>
          <w:rFonts w:ascii="Arial" w:hAnsi="Arial" w:cs="Arial"/>
          <w:sz w:val="16"/>
          <w:szCs w:val="16"/>
        </w:rPr>
        <w:t xml:space="preserve">Notre méthodologie formalise le suivi et l’analyse des démarches ESG de nos affiliés en portefeuille via l’analyse de critères extra-financiers recueillis par nos outils :  </w:t>
      </w:r>
    </w:p>
    <w:p w14:paraId="5ED5BCBB" w14:textId="77777777" w:rsidR="00DA79DF" w:rsidRPr="00DA79DF" w:rsidRDefault="00DA79DF" w:rsidP="00DA79DF">
      <w:pPr>
        <w:spacing w:after="60"/>
        <w:ind w:left="284"/>
        <w:jc w:val="both"/>
        <w:rPr>
          <w:rFonts w:ascii="Arial" w:hAnsi="Arial" w:cs="Arial"/>
          <w:sz w:val="16"/>
          <w:szCs w:val="16"/>
        </w:rPr>
      </w:pPr>
    </w:p>
    <w:p w14:paraId="2023C3F8" w14:textId="4AC592EB" w:rsidR="00DA79DF" w:rsidRPr="00DA79DF" w:rsidRDefault="00DA79DF" w:rsidP="00DA79DF">
      <w:pPr>
        <w:spacing w:after="60"/>
        <w:ind w:left="284"/>
        <w:jc w:val="both"/>
        <w:rPr>
          <w:rFonts w:ascii="Arial" w:hAnsi="Arial" w:cs="Arial"/>
          <w:sz w:val="16"/>
          <w:szCs w:val="16"/>
        </w:rPr>
      </w:pPr>
      <w:r w:rsidRPr="00DA79DF">
        <w:rPr>
          <w:rFonts w:ascii="Arial" w:hAnsi="Arial" w:cs="Arial"/>
          <w:sz w:val="16"/>
          <w:szCs w:val="16"/>
        </w:rPr>
        <w:t>-</w:t>
      </w:r>
      <w:r w:rsidRPr="00DA79DF">
        <w:rPr>
          <w:rFonts w:ascii="Arial" w:hAnsi="Arial" w:cs="Arial"/>
          <w:sz w:val="16"/>
          <w:szCs w:val="16"/>
        </w:rPr>
        <w:tab/>
        <w:t>Le Screening ESG</w:t>
      </w:r>
      <w:proofErr w:type="gramStart"/>
      <w:r>
        <w:rPr>
          <w:rFonts w:ascii="Arial" w:hAnsi="Arial" w:cs="Arial"/>
          <w:sz w:val="16"/>
          <w:szCs w:val="16"/>
        </w:rPr>
        <w:t> :c</w:t>
      </w:r>
      <w:r w:rsidRPr="00DA79DF">
        <w:rPr>
          <w:rFonts w:ascii="Arial" w:hAnsi="Arial" w:cs="Arial"/>
          <w:sz w:val="16"/>
          <w:szCs w:val="16"/>
        </w:rPr>
        <w:t>et</w:t>
      </w:r>
      <w:proofErr w:type="gramEnd"/>
      <w:r w:rsidRPr="00DA79DF">
        <w:rPr>
          <w:rFonts w:ascii="Arial" w:hAnsi="Arial" w:cs="Arial"/>
          <w:sz w:val="16"/>
          <w:szCs w:val="16"/>
        </w:rPr>
        <w:t xml:space="preserve"> outil a été développé pour servir de support d'entretien, d'aide au questionnement et de document de restitution de l'analyse lors de la phase de préinvestissement. </w:t>
      </w:r>
    </w:p>
    <w:p w14:paraId="1721C1C2" w14:textId="4D666D2B" w:rsidR="00DA79DF" w:rsidRPr="00DA79DF" w:rsidRDefault="00DA79DF" w:rsidP="00DA79DF">
      <w:pPr>
        <w:spacing w:line="240" w:lineRule="auto"/>
        <w:jc w:val="both"/>
        <w:rPr>
          <w:rFonts w:ascii="Arial" w:hAnsi="Arial" w:cs="Arial"/>
          <w:sz w:val="16"/>
          <w:szCs w:val="16"/>
        </w:rPr>
      </w:pPr>
      <w:r w:rsidRPr="00DA79DF">
        <w:rPr>
          <w:rFonts w:ascii="Arial" w:hAnsi="Arial" w:cs="Arial"/>
          <w:sz w:val="16"/>
          <w:szCs w:val="16"/>
        </w:rPr>
        <w:t>Cet outil « Screening ESG » se décompose en trois volets présentés ci-dessous basés sur les critères suivants :</w:t>
      </w:r>
    </w:p>
    <w:p w14:paraId="4F7C9D0D" w14:textId="3C309F52" w:rsidR="00DA79DF" w:rsidRDefault="00814DC1" w:rsidP="00DA79DF">
      <w:pPr>
        <w:spacing w:line="240" w:lineRule="auto"/>
        <w:rPr>
          <w:rFonts w:ascii="Arial" w:hAnsi="Arial" w:cs="Arial"/>
          <w:sz w:val="16"/>
          <w:szCs w:val="16"/>
        </w:rPr>
      </w:pPr>
      <w:r>
        <w:rPr>
          <w:rFonts w:ascii="Arial" w:hAnsi="Arial" w:cs="Arial"/>
          <w:noProof/>
          <w:sz w:val="16"/>
          <w:szCs w:val="16"/>
        </w:rPr>
        <w:lastRenderedPageBreak/>
        <w:drawing>
          <wp:anchor distT="0" distB="0" distL="114300" distR="114300" simplePos="0" relativeHeight="251660288" behindDoc="0" locked="0" layoutInCell="1" allowOverlap="1" wp14:anchorId="3F312BFA" wp14:editId="5277C1FA">
            <wp:simplePos x="0" y="0"/>
            <wp:positionH relativeFrom="column">
              <wp:posOffset>-85725</wp:posOffset>
            </wp:positionH>
            <wp:positionV relativeFrom="page">
              <wp:posOffset>1523048</wp:posOffset>
            </wp:positionV>
            <wp:extent cx="5942965" cy="2430145"/>
            <wp:effectExtent l="0" t="0" r="635" b="8255"/>
            <wp:wrapSquare wrapText="bothSides"/>
            <wp:docPr id="1436289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2430145"/>
                    </a:xfrm>
                    <a:prstGeom prst="rect">
                      <a:avLst/>
                    </a:prstGeom>
                    <a:noFill/>
                  </pic:spPr>
                </pic:pic>
              </a:graphicData>
            </a:graphic>
            <wp14:sizeRelH relativeFrom="margin">
              <wp14:pctWidth>0</wp14:pctWidth>
            </wp14:sizeRelH>
            <wp14:sizeRelV relativeFrom="margin">
              <wp14:pctHeight>0</wp14:pctHeight>
            </wp14:sizeRelV>
          </wp:anchor>
        </w:drawing>
      </w:r>
    </w:p>
    <w:p w14:paraId="5563CCAC" w14:textId="055F34A4" w:rsidR="00313B40" w:rsidRDefault="00313B40" w:rsidP="00DA79DF">
      <w:pPr>
        <w:spacing w:line="240" w:lineRule="auto"/>
        <w:rPr>
          <w:rFonts w:ascii="Arial" w:hAnsi="Arial" w:cs="Arial"/>
          <w:sz w:val="16"/>
          <w:szCs w:val="16"/>
        </w:rPr>
      </w:pPr>
    </w:p>
    <w:p w14:paraId="4A5CAED7" w14:textId="4B592A84" w:rsidR="00DA79DF" w:rsidRDefault="00DA79DF" w:rsidP="00313B40">
      <w:pPr>
        <w:spacing w:line="240" w:lineRule="auto"/>
        <w:jc w:val="both"/>
        <w:rPr>
          <w:rFonts w:ascii="Arial" w:hAnsi="Arial" w:cs="Arial"/>
          <w:sz w:val="16"/>
          <w:szCs w:val="16"/>
        </w:rPr>
      </w:pPr>
      <w:r w:rsidRPr="00DA79DF">
        <w:rPr>
          <w:rFonts w:ascii="Arial" w:hAnsi="Arial" w:cs="Arial"/>
          <w:sz w:val="16"/>
          <w:szCs w:val="16"/>
        </w:rPr>
        <w:t>Pour les trois catégories (Environnement, Social et Gouvernance), il s'agit de prendre connaissance du niveau de maturité global de l'entreprise sur les enjeux, impacts et risques concernant ses activités. La synthèse est intégrée dans la note d’investissement et présentée en équipe.</w:t>
      </w:r>
    </w:p>
    <w:p w14:paraId="4A3A38A4" w14:textId="55A52066" w:rsidR="00DA79DF" w:rsidRDefault="00DA79DF" w:rsidP="00DA79DF">
      <w:pPr>
        <w:spacing w:after="60"/>
        <w:ind w:left="284"/>
        <w:jc w:val="both"/>
        <w:rPr>
          <w:rFonts w:ascii="Arial" w:hAnsi="Arial" w:cs="Arial"/>
          <w:sz w:val="16"/>
          <w:szCs w:val="16"/>
        </w:rPr>
      </w:pPr>
    </w:p>
    <w:p w14:paraId="302331C0" w14:textId="35EB8358" w:rsidR="00DA79DF" w:rsidRPr="00DA79DF" w:rsidRDefault="00DA79DF" w:rsidP="00DA79DF">
      <w:pPr>
        <w:spacing w:after="60"/>
        <w:ind w:left="284"/>
        <w:jc w:val="both"/>
        <w:rPr>
          <w:rFonts w:ascii="Arial" w:hAnsi="Arial" w:cs="Arial"/>
          <w:sz w:val="16"/>
          <w:szCs w:val="16"/>
        </w:rPr>
      </w:pPr>
    </w:p>
    <w:p w14:paraId="684B0B89" w14:textId="32CAF43F" w:rsidR="00DA79DF" w:rsidRPr="00DA79DF" w:rsidRDefault="00DA79DF" w:rsidP="00313B40">
      <w:pPr>
        <w:spacing w:after="60"/>
        <w:ind w:left="284"/>
        <w:jc w:val="both"/>
        <w:rPr>
          <w:rFonts w:ascii="Arial" w:hAnsi="Arial" w:cs="Arial"/>
          <w:sz w:val="16"/>
          <w:szCs w:val="16"/>
        </w:rPr>
      </w:pPr>
      <w:r w:rsidRPr="00DA79DF">
        <w:rPr>
          <w:rFonts w:ascii="Arial" w:hAnsi="Arial" w:cs="Arial"/>
          <w:sz w:val="16"/>
          <w:szCs w:val="16"/>
        </w:rPr>
        <w:t>-</w:t>
      </w:r>
      <w:r w:rsidRPr="00DA79DF">
        <w:rPr>
          <w:rFonts w:ascii="Arial" w:hAnsi="Arial" w:cs="Arial"/>
          <w:sz w:val="16"/>
          <w:szCs w:val="16"/>
        </w:rPr>
        <w:tab/>
        <w:t xml:space="preserve">La grille ESG </w:t>
      </w:r>
      <w:r>
        <w:rPr>
          <w:rFonts w:ascii="Arial" w:hAnsi="Arial" w:cs="Arial"/>
          <w:sz w:val="16"/>
          <w:szCs w:val="16"/>
        </w:rPr>
        <w:t>correspondant au</w:t>
      </w:r>
      <w:r w:rsidRPr="00DA79DF">
        <w:rPr>
          <w:rFonts w:ascii="Arial" w:hAnsi="Arial" w:cs="Arial"/>
          <w:sz w:val="16"/>
          <w:szCs w:val="16"/>
        </w:rPr>
        <w:t xml:space="preserve"> questionnaire annuel ESG</w:t>
      </w:r>
      <w:r>
        <w:rPr>
          <w:rFonts w:ascii="Arial" w:hAnsi="Arial" w:cs="Arial"/>
          <w:sz w:val="16"/>
          <w:szCs w:val="16"/>
        </w:rPr>
        <w:t xml:space="preserve"> auprès des entreprises en portefeuille</w:t>
      </w:r>
      <w:r w:rsidR="00313B40">
        <w:rPr>
          <w:rFonts w:ascii="Arial" w:hAnsi="Arial" w:cs="Arial"/>
          <w:sz w:val="16"/>
          <w:szCs w:val="16"/>
        </w:rPr>
        <w:t> ; u</w:t>
      </w:r>
      <w:r w:rsidRPr="00DA79DF">
        <w:rPr>
          <w:rFonts w:ascii="Arial" w:hAnsi="Arial" w:cs="Arial"/>
          <w:sz w:val="16"/>
          <w:szCs w:val="16"/>
        </w:rPr>
        <w:t xml:space="preserve">ne analyse plus détaillée des enjeux ESG est ensuite réalisée en s'appuyant sur une liste exhaustive de critères tels que : </w:t>
      </w:r>
    </w:p>
    <w:p w14:paraId="22067477" w14:textId="25FA7689" w:rsidR="00DA79DF" w:rsidRDefault="00814DC1" w:rsidP="00DA79DF">
      <w:pPr>
        <w:spacing w:line="240" w:lineRule="auto"/>
        <w:jc w:val="center"/>
        <w:rPr>
          <w:rFonts w:ascii="Arial" w:hAnsi="Arial" w:cs="Arial"/>
          <w:sz w:val="24"/>
          <w:szCs w:val="24"/>
          <w:shd w:val="clear" w:color="auto" w:fill="FFFFFF"/>
        </w:rPr>
      </w:pPr>
      <w:r w:rsidRPr="00C446CB">
        <w:rPr>
          <w:noProof/>
        </w:rPr>
        <w:drawing>
          <wp:anchor distT="0" distB="0" distL="114300" distR="114300" simplePos="0" relativeHeight="251662336" behindDoc="1" locked="0" layoutInCell="1" allowOverlap="1" wp14:anchorId="09713063" wp14:editId="2761EDF8">
            <wp:simplePos x="0" y="0"/>
            <wp:positionH relativeFrom="margin">
              <wp:posOffset>399415</wp:posOffset>
            </wp:positionH>
            <wp:positionV relativeFrom="paragraph">
              <wp:posOffset>177800</wp:posOffset>
            </wp:positionV>
            <wp:extent cx="4851400" cy="4142740"/>
            <wp:effectExtent l="0" t="0" r="6350" b="0"/>
            <wp:wrapTight wrapText="bothSides">
              <wp:wrapPolygon edited="0">
                <wp:start x="0" y="0"/>
                <wp:lineTo x="0" y="21454"/>
                <wp:lineTo x="21543" y="21454"/>
                <wp:lineTo x="21543" y="0"/>
                <wp:lineTo x="0" y="0"/>
              </wp:wrapPolygon>
            </wp:wrapTight>
            <wp:docPr id="56" name="Picture 5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1400" cy="4142740"/>
                    </a:xfrm>
                    <a:prstGeom prst="rect">
                      <a:avLst/>
                    </a:prstGeom>
                  </pic:spPr>
                </pic:pic>
              </a:graphicData>
            </a:graphic>
            <wp14:sizeRelH relativeFrom="margin">
              <wp14:pctWidth>0</wp14:pctWidth>
            </wp14:sizeRelH>
            <wp14:sizeRelV relativeFrom="margin">
              <wp14:pctHeight>0</wp14:pctHeight>
            </wp14:sizeRelV>
          </wp:anchor>
        </w:drawing>
      </w:r>
    </w:p>
    <w:p w14:paraId="6CAED012" w14:textId="1D8CED05" w:rsidR="00DA79DF" w:rsidRDefault="00DA79DF" w:rsidP="00DA79DF">
      <w:pPr>
        <w:spacing w:line="240" w:lineRule="auto"/>
        <w:jc w:val="center"/>
        <w:rPr>
          <w:rFonts w:ascii="Arial" w:hAnsi="Arial" w:cs="Arial"/>
          <w:sz w:val="24"/>
          <w:szCs w:val="24"/>
          <w:shd w:val="clear" w:color="auto" w:fill="FFFFFF"/>
        </w:rPr>
      </w:pPr>
    </w:p>
    <w:p w14:paraId="75BDEF08" w14:textId="77777777" w:rsidR="00814DC1" w:rsidRDefault="00814DC1" w:rsidP="00DA79DF">
      <w:pPr>
        <w:spacing w:line="240" w:lineRule="auto"/>
        <w:jc w:val="center"/>
        <w:rPr>
          <w:rFonts w:ascii="Arial" w:hAnsi="Arial" w:cs="Arial"/>
          <w:sz w:val="24"/>
          <w:szCs w:val="24"/>
          <w:shd w:val="clear" w:color="auto" w:fill="FFFFFF"/>
        </w:rPr>
      </w:pPr>
    </w:p>
    <w:p w14:paraId="3A33AC9D" w14:textId="77777777" w:rsidR="00814DC1" w:rsidRDefault="00814DC1" w:rsidP="00DA79DF">
      <w:pPr>
        <w:spacing w:line="240" w:lineRule="auto"/>
        <w:jc w:val="center"/>
        <w:rPr>
          <w:rFonts w:ascii="Arial" w:hAnsi="Arial" w:cs="Arial"/>
          <w:sz w:val="24"/>
          <w:szCs w:val="24"/>
          <w:shd w:val="clear" w:color="auto" w:fill="FFFFFF"/>
        </w:rPr>
      </w:pPr>
    </w:p>
    <w:p w14:paraId="0719F2BF" w14:textId="77777777" w:rsidR="00814DC1" w:rsidRDefault="00814DC1" w:rsidP="00DA79DF">
      <w:pPr>
        <w:spacing w:line="240" w:lineRule="auto"/>
        <w:jc w:val="center"/>
        <w:rPr>
          <w:rFonts w:ascii="Arial" w:hAnsi="Arial" w:cs="Arial"/>
          <w:sz w:val="24"/>
          <w:szCs w:val="24"/>
          <w:shd w:val="clear" w:color="auto" w:fill="FFFFFF"/>
        </w:rPr>
      </w:pPr>
    </w:p>
    <w:p w14:paraId="6254D3C0" w14:textId="7BCDEC98" w:rsidR="00814DC1" w:rsidRDefault="00814DC1" w:rsidP="00DA79DF">
      <w:pPr>
        <w:spacing w:line="240" w:lineRule="auto"/>
        <w:jc w:val="center"/>
        <w:rPr>
          <w:rFonts w:ascii="Arial" w:hAnsi="Arial" w:cs="Arial"/>
          <w:sz w:val="24"/>
          <w:szCs w:val="24"/>
          <w:shd w:val="clear" w:color="auto" w:fill="FFFFFF"/>
        </w:rPr>
      </w:pPr>
    </w:p>
    <w:p w14:paraId="6C926E9B" w14:textId="0B81A93C" w:rsidR="00814DC1" w:rsidRDefault="00814DC1" w:rsidP="00DA79DF">
      <w:pPr>
        <w:spacing w:line="240" w:lineRule="auto"/>
        <w:jc w:val="center"/>
        <w:rPr>
          <w:rFonts w:ascii="Arial" w:hAnsi="Arial" w:cs="Arial"/>
          <w:sz w:val="24"/>
          <w:szCs w:val="24"/>
          <w:shd w:val="clear" w:color="auto" w:fill="FFFFFF"/>
        </w:rPr>
      </w:pPr>
    </w:p>
    <w:p w14:paraId="415682E4" w14:textId="60EA76C4" w:rsidR="00814DC1" w:rsidRDefault="00814DC1" w:rsidP="00DA79DF">
      <w:pPr>
        <w:spacing w:line="240" w:lineRule="auto"/>
        <w:jc w:val="center"/>
        <w:rPr>
          <w:rFonts w:ascii="Arial" w:hAnsi="Arial" w:cs="Arial"/>
          <w:sz w:val="24"/>
          <w:szCs w:val="24"/>
          <w:shd w:val="clear" w:color="auto" w:fill="FFFFFF"/>
        </w:rPr>
      </w:pPr>
    </w:p>
    <w:p w14:paraId="20E97E94" w14:textId="44FE12BE" w:rsidR="00814DC1" w:rsidRDefault="00814DC1" w:rsidP="00DA79DF">
      <w:pPr>
        <w:spacing w:line="240" w:lineRule="auto"/>
        <w:jc w:val="center"/>
        <w:rPr>
          <w:rFonts w:ascii="Arial" w:hAnsi="Arial" w:cs="Arial"/>
          <w:sz w:val="24"/>
          <w:szCs w:val="24"/>
          <w:shd w:val="clear" w:color="auto" w:fill="FFFFFF"/>
        </w:rPr>
      </w:pPr>
    </w:p>
    <w:p w14:paraId="5FBE247A" w14:textId="77777777" w:rsidR="00814DC1" w:rsidRDefault="00814DC1" w:rsidP="00DA79DF">
      <w:pPr>
        <w:spacing w:line="240" w:lineRule="auto"/>
        <w:jc w:val="center"/>
        <w:rPr>
          <w:rFonts w:ascii="Arial" w:hAnsi="Arial" w:cs="Arial"/>
          <w:sz w:val="24"/>
          <w:szCs w:val="24"/>
          <w:shd w:val="clear" w:color="auto" w:fill="FFFFFF"/>
        </w:rPr>
      </w:pPr>
    </w:p>
    <w:p w14:paraId="01828413" w14:textId="565BB2A8" w:rsidR="00814DC1" w:rsidRDefault="00814DC1" w:rsidP="00DA79DF">
      <w:pPr>
        <w:spacing w:line="240" w:lineRule="auto"/>
        <w:jc w:val="center"/>
        <w:rPr>
          <w:rFonts w:ascii="Arial" w:hAnsi="Arial" w:cs="Arial"/>
          <w:sz w:val="24"/>
          <w:szCs w:val="24"/>
          <w:shd w:val="clear" w:color="auto" w:fill="FFFFFF"/>
        </w:rPr>
      </w:pPr>
    </w:p>
    <w:p w14:paraId="43C4CE71" w14:textId="77777777" w:rsidR="00814DC1" w:rsidRDefault="00814DC1" w:rsidP="00DA79DF">
      <w:pPr>
        <w:spacing w:line="240" w:lineRule="auto"/>
        <w:jc w:val="center"/>
        <w:rPr>
          <w:rFonts w:ascii="Arial" w:hAnsi="Arial" w:cs="Arial"/>
          <w:sz w:val="24"/>
          <w:szCs w:val="24"/>
          <w:shd w:val="clear" w:color="auto" w:fill="FFFFFF"/>
        </w:rPr>
      </w:pPr>
    </w:p>
    <w:p w14:paraId="117972FE" w14:textId="41A5254C" w:rsidR="00814DC1" w:rsidRDefault="00814DC1" w:rsidP="00DA79DF">
      <w:pPr>
        <w:spacing w:line="240" w:lineRule="auto"/>
        <w:jc w:val="center"/>
        <w:rPr>
          <w:rFonts w:ascii="Arial" w:hAnsi="Arial" w:cs="Arial"/>
          <w:sz w:val="24"/>
          <w:szCs w:val="24"/>
          <w:shd w:val="clear" w:color="auto" w:fill="FFFFFF"/>
        </w:rPr>
      </w:pPr>
    </w:p>
    <w:p w14:paraId="7492761C" w14:textId="77777777" w:rsidR="00814DC1" w:rsidRDefault="00814DC1" w:rsidP="00DA79DF">
      <w:pPr>
        <w:spacing w:line="240" w:lineRule="auto"/>
        <w:jc w:val="center"/>
        <w:rPr>
          <w:rFonts w:ascii="Arial" w:hAnsi="Arial" w:cs="Arial"/>
          <w:sz w:val="24"/>
          <w:szCs w:val="24"/>
          <w:shd w:val="clear" w:color="auto" w:fill="FFFFFF"/>
        </w:rPr>
      </w:pPr>
    </w:p>
    <w:p w14:paraId="2E45173F" w14:textId="77777777" w:rsidR="00814DC1" w:rsidRDefault="00814DC1" w:rsidP="00DA79DF">
      <w:pPr>
        <w:spacing w:line="240" w:lineRule="auto"/>
        <w:jc w:val="center"/>
        <w:rPr>
          <w:rFonts w:ascii="Arial" w:hAnsi="Arial" w:cs="Arial"/>
          <w:sz w:val="24"/>
          <w:szCs w:val="24"/>
          <w:shd w:val="clear" w:color="auto" w:fill="FFFFFF"/>
        </w:rPr>
      </w:pPr>
    </w:p>
    <w:p w14:paraId="3E63DA2B" w14:textId="4AEFC8D2" w:rsidR="00814DC1" w:rsidRDefault="00814DC1" w:rsidP="00DA79DF">
      <w:pPr>
        <w:spacing w:line="240" w:lineRule="auto"/>
        <w:jc w:val="center"/>
        <w:rPr>
          <w:rFonts w:ascii="Arial" w:hAnsi="Arial" w:cs="Arial"/>
          <w:sz w:val="24"/>
          <w:szCs w:val="24"/>
          <w:shd w:val="clear" w:color="auto" w:fill="FFFFFF"/>
        </w:rPr>
      </w:pPr>
    </w:p>
    <w:p w14:paraId="400369EE" w14:textId="18639D1D" w:rsidR="00DA79DF" w:rsidRDefault="00DA79DF" w:rsidP="00DA79DF">
      <w:pPr>
        <w:spacing w:after="60"/>
        <w:ind w:left="284"/>
        <w:jc w:val="both"/>
        <w:rPr>
          <w:rFonts w:ascii="Arial" w:hAnsi="Arial" w:cs="Arial"/>
          <w:sz w:val="16"/>
          <w:szCs w:val="16"/>
        </w:rPr>
      </w:pPr>
    </w:p>
    <w:p w14:paraId="25E5362E" w14:textId="54BD7C76" w:rsidR="00DA79DF" w:rsidRPr="00DA79DF" w:rsidRDefault="00DA79DF" w:rsidP="00DA79DF">
      <w:pPr>
        <w:spacing w:after="60"/>
        <w:ind w:left="284"/>
        <w:jc w:val="both"/>
        <w:rPr>
          <w:rFonts w:ascii="Arial" w:hAnsi="Arial" w:cs="Arial"/>
          <w:sz w:val="16"/>
          <w:szCs w:val="16"/>
        </w:rPr>
      </w:pPr>
      <w:r w:rsidRPr="00DA79DF">
        <w:rPr>
          <w:rFonts w:ascii="Arial" w:hAnsi="Arial" w:cs="Arial"/>
          <w:sz w:val="16"/>
          <w:szCs w:val="16"/>
        </w:rPr>
        <w:t xml:space="preserve">Les due diligences ESG sont réalisées par les équipes d’IRDI Capital Investissement en tenant compte dans leur appréciation de la structure et de la taille de la société. </w:t>
      </w:r>
    </w:p>
    <w:p w14:paraId="655C59C7" w14:textId="0746CD5F" w:rsidR="00DA79DF" w:rsidRPr="00DA79DF" w:rsidRDefault="00DA79DF" w:rsidP="00DA79DF">
      <w:pPr>
        <w:spacing w:after="60"/>
        <w:ind w:left="284"/>
        <w:jc w:val="both"/>
        <w:rPr>
          <w:rFonts w:ascii="Arial" w:hAnsi="Arial" w:cs="Arial"/>
          <w:sz w:val="16"/>
          <w:szCs w:val="16"/>
        </w:rPr>
      </w:pPr>
      <w:r w:rsidRPr="00DA79DF">
        <w:rPr>
          <w:rFonts w:ascii="Arial" w:hAnsi="Arial" w:cs="Arial"/>
          <w:sz w:val="16"/>
          <w:szCs w:val="16"/>
        </w:rPr>
        <w:lastRenderedPageBreak/>
        <w:t xml:space="preserve">Pour les cas plus complexes (selon la taille de l'entreprise, le secteur d'activité), un tiers externe indépendant peut être mandaté avec l’accord de l’Entreprise afin de réaliser une évaluation ESG sur site et faire ressortir les axes d'amélioration stratégiques. </w:t>
      </w:r>
    </w:p>
    <w:p w14:paraId="1F457B80" w14:textId="52B3A862" w:rsidR="00DA79DF" w:rsidRDefault="00DA79DF" w:rsidP="00DA79DF">
      <w:pPr>
        <w:spacing w:after="60"/>
        <w:ind w:left="284"/>
        <w:jc w:val="both"/>
        <w:rPr>
          <w:rFonts w:ascii="Arial" w:hAnsi="Arial" w:cs="Arial"/>
          <w:sz w:val="16"/>
          <w:szCs w:val="16"/>
        </w:rPr>
      </w:pPr>
      <w:r w:rsidRPr="00DA79DF">
        <w:rPr>
          <w:rFonts w:ascii="Arial" w:hAnsi="Arial" w:cs="Arial"/>
          <w:sz w:val="16"/>
          <w:szCs w:val="16"/>
        </w:rPr>
        <w:t xml:space="preserve">Pour réaliser cette analyse, une grille d’évaluation de critères ESG a donc été établie en collaboration avec Des Enjeux et Des Hommes, filiale d’ECOCERT, permettant d’évaluer la maturité des participations dans la prise en compte de ses enjeux ESG et encourager les entreprises du portefeuille à saisir les opportunités ESG dans leurs activités et sur l'ensemble de leur chaîne de valeur. </w:t>
      </w:r>
      <w:r>
        <w:rPr>
          <w:rFonts w:ascii="Arial" w:hAnsi="Arial" w:cs="Arial"/>
          <w:sz w:val="16"/>
          <w:szCs w:val="16"/>
        </w:rPr>
        <w:t xml:space="preserve"> Une analyse des données quantitatives est également présente dans cette grille, ce qui permet notamment aux équipes de suivre les principales incidences négatives en matière de durabilité, mais également d’identifier des KPI pertinents permettant de mesurer l’évolution de la société au regard du plan d’action établi.</w:t>
      </w:r>
    </w:p>
    <w:p w14:paraId="27AC7ECB" w14:textId="78E7BEC0" w:rsidR="00DA79DF" w:rsidRPr="00DA79DF" w:rsidRDefault="00DA79DF" w:rsidP="00DA79DF">
      <w:pPr>
        <w:spacing w:after="60"/>
        <w:ind w:left="284"/>
        <w:jc w:val="both"/>
        <w:rPr>
          <w:rFonts w:ascii="Arial" w:hAnsi="Arial" w:cs="Arial"/>
          <w:sz w:val="16"/>
          <w:szCs w:val="16"/>
        </w:rPr>
      </w:pPr>
    </w:p>
    <w:p w14:paraId="79B302A0" w14:textId="77777777" w:rsidR="00DA79DF" w:rsidRPr="00DA79DF" w:rsidRDefault="00DA79DF" w:rsidP="00DA79DF">
      <w:pPr>
        <w:spacing w:after="60"/>
        <w:ind w:left="284"/>
        <w:jc w:val="both"/>
        <w:rPr>
          <w:rFonts w:ascii="Arial" w:hAnsi="Arial" w:cs="Arial"/>
          <w:sz w:val="16"/>
          <w:szCs w:val="16"/>
        </w:rPr>
      </w:pPr>
      <w:r w:rsidRPr="00DA79DF">
        <w:rPr>
          <w:rFonts w:ascii="Arial" w:hAnsi="Arial" w:cs="Arial"/>
          <w:sz w:val="16"/>
          <w:szCs w:val="16"/>
        </w:rPr>
        <w:t xml:space="preserve">Lors de l’entrée au capital et par entretien avec le dirigeant, un plan d'actions ESG est mis en place grâce à la grille ESG. </w:t>
      </w:r>
    </w:p>
    <w:p w14:paraId="63789ADA" w14:textId="77777777" w:rsidR="00DA79DF" w:rsidRPr="00DA79DF" w:rsidRDefault="00DA79DF" w:rsidP="00DA79DF">
      <w:pPr>
        <w:spacing w:line="240" w:lineRule="auto"/>
        <w:ind w:left="284"/>
        <w:jc w:val="both"/>
        <w:rPr>
          <w:rFonts w:ascii="Arial" w:hAnsi="Arial" w:cs="Arial"/>
          <w:sz w:val="16"/>
          <w:szCs w:val="16"/>
        </w:rPr>
      </w:pPr>
      <w:r w:rsidRPr="00DA79DF">
        <w:rPr>
          <w:rFonts w:ascii="Arial" w:hAnsi="Arial" w:cs="Arial"/>
          <w:sz w:val="16"/>
          <w:szCs w:val="16"/>
        </w:rPr>
        <w:t xml:space="preserve">La grille est ensuite mise à jour annuellement, ce qui permet à l’équipe de suivre l'avancement ESG des entreprises en portefeuille pendant la phase de présence au capital. </w:t>
      </w:r>
    </w:p>
    <w:p w14:paraId="19CC5BA2" w14:textId="77777777" w:rsidR="00DA79DF" w:rsidRDefault="00DA79DF" w:rsidP="00DA79DF">
      <w:pPr>
        <w:spacing w:after="60"/>
        <w:ind w:left="284"/>
        <w:jc w:val="both"/>
        <w:rPr>
          <w:rFonts w:ascii="Arial" w:hAnsi="Arial" w:cs="Arial"/>
          <w:sz w:val="16"/>
          <w:szCs w:val="16"/>
        </w:rPr>
      </w:pPr>
    </w:p>
    <w:p w14:paraId="2A226C87" w14:textId="296EF553" w:rsidR="00DA79DF" w:rsidRDefault="00DA79DF" w:rsidP="00DA79DF">
      <w:pPr>
        <w:spacing w:after="60"/>
        <w:ind w:left="284"/>
        <w:jc w:val="center"/>
        <w:rPr>
          <w:rFonts w:ascii="Arial" w:hAnsi="Arial" w:cs="Arial"/>
          <w:sz w:val="16"/>
          <w:szCs w:val="16"/>
        </w:rPr>
      </w:pPr>
      <w:r w:rsidRPr="00DA79DF">
        <w:rPr>
          <w:rFonts w:ascii="Arial" w:hAnsi="Arial" w:cs="Arial"/>
          <w:sz w:val="16"/>
          <w:szCs w:val="16"/>
        </w:rPr>
        <w:t>Ces considérations interviennent à tous les stades de l’investissement et font partie intégrante du manuel de procédures</w:t>
      </w:r>
      <w:r>
        <w:rPr>
          <w:rFonts w:ascii="Arial" w:hAnsi="Arial" w:cs="Arial"/>
          <w:sz w:val="16"/>
          <w:szCs w:val="16"/>
        </w:rPr>
        <w:t xml:space="preserve"> : </w:t>
      </w:r>
      <w:r>
        <w:rPr>
          <w:noProof/>
        </w:rPr>
        <w:drawing>
          <wp:inline distT="0" distB="0" distL="0" distR="0" wp14:anchorId="6ED74356" wp14:editId="18208B3B">
            <wp:extent cx="3886060" cy="4195762"/>
            <wp:effectExtent l="0" t="0" r="635" b="0"/>
            <wp:docPr id="53" name="Picture 5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Diagram&#10;&#10;Description automatically generated"/>
                    <pic:cNvPicPr/>
                  </pic:nvPicPr>
                  <pic:blipFill>
                    <a:blip r:embed="rId10"/>
                    <a:stretch>
                      <a:fillRect/>
                    </a:stretch>
                  </pic:blipFill>
                  <pic:spPr>
                    <a:xfrm>
                      <a:off x="0" y="0"/>
                      <a:ext cx="3896193" cy="4206703"/>
                    </a:xfrm>
                    <a:prstGeom prst="rect">
                      <a:avLst/>
                    </a:prstGeom>
                  </pic:spPr>
                </pic:pic>
              </a:graphicData>
            </a:graphic>
          </wp:inline>
        </w:drawing>
      </w:r>
    </w:p>
    <w:p w14:paraId="17BD016A" w14:textId="77777777" w:rsidR="00313B40" w:rsidRDefault="00313B40" w:rsidP="004D2BA3">
      <w:pPr>
        <w:pStyle w:val="ListParagraph"/>
        <w:spacing w:after="60"/>
        <w:ind w:left="709"/>
        <w:contextualSpacing w:val="0"/>
        <w:jc w:val="both"/>
        <w:rPr>
          <w:rFonts w:ascii="Arial" w:hAnsi="Arial" w:cs="Arial"/>
          <w:b/>
          <w:bCs/>
          <w:color w:val="00B050"/>
          <w:sz w:val="16"/>
          <w:szCs w:val="16"/>
        </w:rPr>
      </w:pPr>
    </w:p>
    <w:p w14:paraId="226D55D6" w14:textId="5B39B9C4" w:rsidR="00313B40" w:rsidRDefault="00313B40" w:rsidP="00313B40">
      <w:pPr>
        <w:spacing w:after="60"/>
        <w:ind w:left="284" w:firstLine="421"/>
        <w:jc w:val="both"/>
        <w:rPr>
          <w:rFonts w:ascii="Arial" w:hAnsi="Arial" w:cs="Arial"/>
          <w:bCs/>
          <w:sz w:val="16"/>
          <w:szCs w:val="16"/>
        </w:rPr>
      </w:pPr>
      <w:r w:rsidRPr="00313B40">
        <w:rPr>
          <w:rFonts w:ascii="Arial" w:hAnsi="Arial" w:cs="Arial"/>
          <w:bCs/>
          <w:sz w:val="16"/>
          <w:szCs w:val="16"/>
        </w:rPr>
        <w:t>Via ses divers engagements, IRDI CAPITAL INVESTISSEMENT s’engage à maintenir un taux à minima de 50% d’analyse ESG sur l’ensemble de son portefeuille et de 75% sur les produits bénéficiant du Label Relance. Une attention est particulièrement apportée sur les FPCI prenant en compte les principales incidences négatives, dans le cadre de la règlementation SFDR.</w:t>
      </w:r>
    </w:p>
    <w:p w14:paraId="2E8EDF6F" w14:textId="77777777" w:rsidR="00814DC1" w:rsidRDefault="00814DC1" w:rsidP="00313B40">
      <w:pPr>
        <w:spacing w:after="60"/>
        <w:ind w:left="284" w:firstLine="421"/>
        <w:jc w:val="both"/>
        <w:rPr>
          <w:rFonts w:ascii="Arial" w:hAnsi="Arial" w:cs="Arial"/>
          <w:bCs/>
          <w:sz w:val="16"/>
          <w:szCs w:val="16"/>
        </w:rPr>
      </w:pPr>
    </w:p>
    <w:p w14:paraId="5F13726E" w14:textId="77777777" w:rsidR="00814DC1" w:rsidRDefault="00814DC1" w:rsidP="00313B40">
      <w:pPr>
        <w:spacing w:after="60"/>
        <w:ind w:left="284" w:firstLine="421"/>
        <w:jc w:val="both"/>
        <w:rPr>
          <w:rFonts w:ascii="Arial" w:hAnsi="Arial" w:cs="Arial"/>
          <w:bCs/>
          <w:sz w:val="16"/>
          <w:szCs w:val="16"/>
        </w:rPr>
      </w:pPr>
    </w:p>
    <w:p w14:paraId="62AE614D" w14:textId="77777777" w:rsidR="00814DC1" w:rsidRDefault="00814DC1" w:rsidP="00313B40">
      <w:pPr>
        <w:spacing w:after="60"/>
        <w:ind w:left="284" w:firstLine="421"/>
        <w:jc w:val="both"/>
        <w:rPr>
          <w:rFonts w:ascii="Arial" w:hAnsi="Arial" w:cs="Arial"/>
          <w:bCs/>
          <w:sz w:val="16"/>
          <w:szCs w:val="16"/>
        </w:rPr>
      </w:pPr>
    </w:p>
    <w:p w14:paraId="2C8B5758" w14:textId="77777777" w:rsidR="00814DC1" w:rsidRDefault="00814DC1" w:rsidP="00313B40">
      <w:pPr>
        <w:spacing w:after="60"/>
        <w:ind w:left="284" w:firstLine="421"/>
        <w:jc w:val="both"/>
        <w:rPr>
          <w:rFonts w:ascii="Arial" w:hAnsi="Arial" w:cs="Arial"/>
          <w:b/>
          <w:bCs/>
          <w:color w:val="00B050"/>
          <w:sz w:val="16"/>
          <w:szCs w:val="16"/>
        </w:rPr>
      </w:pPr>
    </w:p>
    <w:p w14:paraId="7FC9F089" w14:textId="77777777" w:rsidR="00313B40" w:rsidRPr="00313B40" w:rsidRDefault="00313B40" w:rsidP="00313B40">
      <w:pPr>
        <w:spacing w:after="60"/>
        <w:jc w:val="both"/>
        <w:rPr>
          <w:rFonts w:ascii="Arial" w:hAnsi="Arial" w:cs="Arial"/>
          <w:b/>
          <w:bCs/>
          <w:color w:val="00B050"/>
          <w:sz w:val="16"/>
          <w:szCs w:val="16"/>
        </w:rPr>
      </w:pPr>
    </w:p>
    <w:p w14:paraId="01DC44EB" w14:textId="45A7BF51" w:rsidR="00981F86" w:rsidRPr="00DE5E01" w:rsidRDefault="00981F86" w:rsidP="00AC1EC3">
      <w:pPr>
        <w:pStyle w:val="ListParagraph"/>
        <w:numPr>
          <w:ilvl w:val="1"/>
          <w:numId w:val="2"/>
        </w:numPr>
        <w:spacing w:after="60"/>
        <w:ind w:left="709" w:hanging="425"/>
        <w:contextualSpacing w:val="0"/>
        <w:jc w:val="both"/>
        <w:rPr>
          <w:rFonts w:ascii="Arial" w:hAnsi="Arial" w:cs="Arial"/>
          <w:b/>
          <w:bCs/>
          <w:color w:val="00B050"/>
          <w:sz w:val="16"/>
          <w:szCs w:val="16"/>
        </w:rPr>
      </w:pPr>
      <w:r w:rsidRPr="00DE5E01">
        <w:rPr>
          <w:rFonts w:ascii="Arial" w:hAnsi="Arial" w:cs="Arial"/>
          <w:b/>
          <w:bCs/>
          <w:color w:val="00B050"/>
          <w:sz w:val="16"/>
          <w:szCs w:val="16"/>
        </w:rPr>
        <w:t>Contenu, fréquence et moyens utilisés pour informer les souscripteurs, affiliés, cotisants, allocataires ou clients sur les critères relatifs aux objectifs ESG pris en compte</w:t>
      </w:r>
      <w:r w:rsidR="00E771CE" w:rsidRPr="00DE5E01">
        <w:rPr>
          <w:rFonts w:ascii="Arial" w:hAnsi="Arial" w:cs="Arial"/>
          <w:b/>
          <w:bCs/>
          <w:color w:val="00B050"/>
          <w:sz w:val="16"/>
          <w:szCs w:val="16"/>
        </w:rPr>
        <w:t xml:space="preserve"> dans la politique et la stratégie d’investissement</w:t>
      </w:r>
    </w:p>
    <w:p w14:paraId="77988C70" w14:textId="77777777" w:rsidR="00A5556C" w:rsidRPr="00DE5E01" w:rsidRDefault="00A5556C" w:rsidP="00D4061A">
      <w:pPr>
        <w:spacing w:after="60"/>
        <w:ind w:left="284"/>
        <w:jc w:val="both"/>
        <w:rPr>
          <w:rFonts w:ascii="Arial" w:hAnsi="Arial" w:cs="Arial"/>
          <w:bCs/>
          <w:sz w:val="16"/>
          <w:szCs w:val="16"/>
        </w:rPr>
      </w:pPr>
    </w:p>
    <w:p w14:paraId="0C79F0C2" w14:textId="77777777" w:rsidR="00DE5E01" w:rsidRDefault="00D4061A" w:rsidP="00DE5E01">
      <w:pPr>
        <w:spacing w:after="60"/>
        <w:ind w:left="284" w:firstLine="424"/>
        <w:jc w:val="both"/>
        <w:rPr>
          <w:rFonts w:ascii="Arial" w:hAnsi="Arial" w:cs="Arial"/>
          <w:bCs/>
          <w:sz w:val="16"/>
          <w:szCs w:val="16"/>
        </w:rPr>
      </w:pPr>
      <w:r w:rsidRPr="00DE5E01">
        <w:rPr>
          <w:rFonts w:ascii="Arial" w:hAnsi="Arial" w:cs="Arial"/>
          <w:bCs/>
          <w:sz w:val="16"/>
          <w:szCs w:val="16"/>
        </w:rPr>
        <w:t>La société de gestion produit un rapport ESG annuel mis à disposition des souscripteurs</w:t>
      </w:r>
      <w:r w:rsidR="00DE5E01">
        <w:rPr>
          <w:rFonts w:ascii="Arial" w:hAnsi="Arial" w:cs="Arial"/>
          <w:bCs/>
          <w:sz w:val="16"/>
          <w:szCs w:val="16"/>
        </w:rPr>
        <w:t xml:space="preserve"> ainsi que des informations sur notre site internet, dans la rubrique </w:t>
      </w:r>
      <w:hyperlink r:id="rId11" w:history="1">
        <w:r w:rsidR="00DE5E01" w:rsidRPr="00FE6AB7">
          <w:rPr>
            <w:rStyle w:val="Hyperlink"/>
            <w:rFonts w:ascii="Arial" w:hAnsi="Arial" w:cs="Arial"/>
            <w:bCs/>
            <w:sz w:val="16"/>
            <w:szCs w:val="16"/>
          </w:rPr>
          <w:t>https://www.irdi.fr/nous-connaitre/notre-engagement-responsable/</w:t>
        </w:r>
      </w:hyperlink>
      <w:r w:rsidR="00DE5E01">
        <w:rPr>
          <w:rFonts w:ascii="Arial" w:hAnsi="Arial" w:cs="Arial"/>
          <w:bCs/>
          <w:sz w:val="16"/>
          <w:szCs w:val="16"/>
        </w:rPr>
        <w:t xml:space="preserve"> </w:t>
      </w:r>
    </w:p>
    <w:p w14:paraId="448F43BB" w14:textId="6F0B693F" w:rsidR="00D4061A" w:rsidRDefault="00A5556C" w:rsidP="00DE5E01">
      <w:pPr>
        <w:spacing w:after="60"/>
        <w:ind w:left="284" w:firstLine="424"/>
        <w:jc w:val="both"/>
        <w:rPr>
          <w:rFonts w:ascii="Arial" w:hAnsi="Arial" w:cs="Arial"/>
          <w:bCs/>
          <w:sz w:val="16"/>
          <w:szCs w:val="16"/>
        </w:rPr>
      </w:pPr>
      <w:r w:rsidRPr="00DE5E01">
        <w:rPr>
          <w:rFonts w:ascii="Arial" w:hAnsi="Arial" w:cs="Arial"/>
          <w:bCs/>
          <w:sz w:val="16"/>
          <w:szCs w:val="16"/>
        </w:rPr>
        <w:lastRenderedPageBreak/>
        <w:t xml:space="preserve">De plus, </w:t>
      </w:r>
      <w:r w:rsidR="00DE5E01">
        <w:rPr>
          <w:rFonts w:ascii="Arial" w:hAnsi="Arial" w:cs="Arial"/>
          <w:bCs/>
          <w:sz w:val="16"/>
          <w:szCs w:val="16"/>
        </w:rPr>
        <w:t>une communication est également faire sur les</w:t>
      </w:r>
      <w:r w:rsidRPr="00DE5E01">
        <w:rPr>
          <w:rFonts w:ascii="Arial" w:hAnsi="Arial" w:cs="Arial"/>
          <w:bCs/>
          <w:sz w:val="16"/>
          <w:szCs w:val="16"/>
        </w:rPr>
        <w:t xml:space="preserve"> rapports précontractuels et périodiques des FPCI Article 8 gérés par la société de gestion. Enfin, lors de la phase de </w:t>
      </w:r>
      <w:r w:rsidR="00DE5E01" w:rsidRPr="00DE5E01">
        <w:rPr>
          <w:rFonts w:ascii="Arial" w:hAnsi="Arial" w:cs="Arial"/>
          <w:bCs/>
          <w:sz w:val="16"/>
          <w:szCs w:val="16"/>
        </w:rPr>
        <w:t>préinvestissement</w:t>
      </w:r>
      <w:r w:rsidRPr="00DE5E01">
        <w:rPr>
          <w:rFonts w:ascii="Arial" w:hAnsi="Arial" w:cs="Arial"/>
          <w:bCs/>
          <w:sz w:val="16"/>
          <w:szCs w:val="16"/>
        </w:rPr>
        <w:t xml:space="preserve"> notre grille de screening ESG est systématiquement présentée aux souscripteurs permettant de faire un focus affilié par affilié sur la thématique ESG.</w:t>
      </w:r>
    </w:p>
    <w:p w14:paraId="798FE26E" w14:textId="76E6098C" w:rsidR="00DE5E01" w:rsidRPr="00DE5E01" w:rsidRDefault="00DE5E01" w:rsidP="00DE5E01">
      <w:pPr>
        <w:spacing w:after="60"/>
        <w:ind w:left="284" w:firstLine="424"/>
        <w:jc w:val="both"/>
        <w:rPr>
          <w:rFonts w:ascii="Arial" w:hAnsi="Arial" w:cs="Arial"/>
          <w:bCs/>
          <w:sz w:val="16"/>
          <w:szCs w:val="16"/>
        </w:rPr>
      </w:pPr>
      <w:r>
        <w:rPr>
          <w:rFonts w:ascii="Arial" w:hAnsi="Arial" w:cs="Arial"/>
          <w:bCs/>
          <w:sz w:val="16"/>
          <w:szCs w:val="16"/>
        </w:rPr>
        <w:t xml:space="preserve">Enfin, concernant la stratégie d’investissement, les modifications règlementaires de nos FPCI sont </w:t>
      </w:r>
      <w:proofErr w:type="gramStart"/>
      <w:r>
        <w:rPr>
          <w:rFonts w:ascii="Arial" w:hAnsi="Arial" w:cs="Arial"/>
          <w:bCs/>
          <w:sz w:val="16"/>
          <w:szCs w:val="16"/>
        </w:rPr>
        <w:t>soumis</w:t>
      </w:r>
      <w:proofErr w:type="gramEnd"/>
      <w:r>
        <w:rPr>
          <w:rFonts w:ascii="Arial" w:hAnsi="Arial" w:cs="Arial"/>
          <w:bCs/>
          <w:sz w:val="16"/>
          <w:szCs w:val="16"/>
        </w:rPr>
        <w:t xml:space="preserve"> à consultation des porteurs de parts, ils sont donc informés de l’évolution de notre stratégie d’investissement, y compris sur les thématiques ESG.</w:t>
      </w:r>
    </w:p>
    <w:p w14:paraId="729FE166" w14:textId="77777777" w:rsidR="00D4061A" w:rsidRPr="00DE5E01" w:rsidRDefault="00D4061A" w:rsidP="00D4061A">
      <w:pPr>
        <w:spacing w:after="60"/>
        <w:ind w:left="284"/>
        <w:jc w:val="both"/>
        <w:rPr>
          <w:rFonts w:ascii="Arial" w:hAnsi="Arial" w:cs="Arial"/>
          <w:bCs/>
          <w:sz w:val="16"/>
          <w:szCs w:val="16"/>
        </w:rPr>
      </w:pPr>
    </w:p>
    <w:p w14:paraId="7A4C9793" w14:textId="77777777" w:rsidR="00981F86" w:rsidRPr="00DE5E01" w:rsidRDefault="00981F86" w:rsidP="00F21720">
      <w:pPr>
        <w:pStyle w:val="ListParagraph"/>
        <w:numPr>
          <w:ilvl w:val="1"/>
          <w:numId w:val="2"/>
        </w:numPr>
        <w:spacing w:after="60"/>
        <w:ind w:left="709" w:hanging="425"/>
        <w:contextualSpacing w:val="0"/>
        <w:jc w:val="both"/>
        <w:rPr>
          <w:rFonts w:ascii="Arial" w:hAnsi="Arial" w:cs="Arial"/>
          <w:b/>
          <w:color w:val="00B050"/>
          <w:sz w:val="16"/>
          <w:szCs w:val="16"/>
        </w:rPr>
      </w:pPr>
      <w:r w:rsidRPr="00DE5E01">
        <w:rPr>
          <w:rFonts w:ascii="Arial" w:hAnsi="Arial" w:cs="Arial"/>
          <w:b/>
          <w:color w:val="00B050"/>
          <w:sz w:val="16"/>
          <w:szCs w:val="16"/>
        </w:rPr>
        <w:t>Adhésion de l'entité, ou de certains produits financiers, à une charte, un code, une initiative ou obtention d'un label sur la prise en compte de critères ESG ainsi qu'une description sommaire de ceux-ci</w:t>
      </w:r>
    </w:p>
    <w:p w14:paraId="207918EB" w14:textId="389A7839" w:rsidR="00E3399F" w:rsidRPr="00DE5E01" w:rsidRDefault="00E3399F" w:rsidP="00E3399F">
      <w:pPr>
        <w:pStyle w:val="ListParagraph"/>
        <w:spacing w:after="120"/>
        <w:ind w:left="360"/>
        <w:contextualSpacing w:val="0"/>
        <w:jc w:val="both"/>
        <w:rPr>
          <w:rFonts w:ascii="Arial" w:hAnsi="Arial" w:cs="Arial"/>
          <w:b/>
          <w:color w:val="00B050"/>
          <w:sz w:val="16"/>
          <w:szCs w:val="16"/>
        </w:rPr>
      </w:pPr>
      <w:r w:rsidRPr="00DE5E01">
        <w:rPr>
          <w:rFonts w:ascii="Arial" w:hAnsi="Arial" w:cs="Arial"/>
          <w:b/>
          <w:color w:val="00B050"/>
          <w:sz w:val="16"/>
          <w:szCs w:val="16"/>
        </w:rPr>
        <w:t>Les entités assujetties aux obligations de publication de l’article 29 de la loi 2019-1147 relative à l’énergie et au climat fournissent les informations prévues au a), b), d) et e) du 1° du III de l’article D. 533-16-1 du code monétaire et financier</w:t>
      </w:r>
    </w:p>
    <w:p w14:paraId="5CA75392" w14:textId="77777777" w:rsidR="0014232E" w:rsidRPr="00DE5E01" w:rsidRDefault="0014232E" w:rsidP="004D2BA3">
      <w:pPr>
        <w:spacing w:after="60"/>
        <w:jc w:val="both"/>
        <w:rPr>
          <w:rFonts w:ascii="Arial" w:hAnsi="Arial" w:cs="Arial"/>
          <w:b/>
          <w:color w:val="00B050"/>
          <w:sz w:val="16"/>
          <w:szCs w:val="16"/>
        </w:rPr>
      </w:pPr>
    </w:p>
    <w:p w14:paraId="583EB4BA" w14:textId="2D2C44BA" w:rsidR="004D2BA3" w:rsidRPr="00DE5E01" w:rsidRDefault="004D2BA3" w:rsidP="004D2BA3">
      <w:pPr>
        <w:spacing w:after="60"/>
        <w:jc w:val="both"/>
        <w:rPr>
          <w:rFonts w:ascii="Arial" w:hAnsi="Arial" w:cs="Arial"/>
          <w:b/>
          <w:sz w:val="16"/>
          <w:szCs w:val="16"/>
        </w:rPr>
      </w:pPr>
      <w:r w:rsidRPr="00DE5E01">
        <w:rPr>
          <w:rFonts w:ascii="Arial" w:hAnsi="Arial" w:cs="Arial"/>
          <w:b/>
          <w:sz w:val="16"/>
          <w:szCs w:val="16"/>
        </w:rPr>
        <w:t xml:space="preserve">IRDI CAPITAL INVESTISSEMENT est signataire : </w:t>
      </w:r>
    </w:p>
    <w:p w14:paraId="3603BDB1" w14:textId="77777777" w:rsidR="00D13C07" w:rsidRPr="00DE5E01" w:rsidRDefault="00D13C07" w:rsidP="004D2BA3">
      <w:pPr>
        <w:spacing w:after="60"/>
        <w:jc w:val="both"/>
        <w:rPr>
          <w:rFonts w:ascii="Arial" w:hAnsi="Arial" w:cs="Arial"/>
          <w:b/>
          <w:sz w:val="16"/>
          <w:szCs w:val="16"/>
        </w:rPr>
      </w:pPr>
    </w:p>
    <w:p w14:paraId="484346D1" w14:textId="77777777" w:rsidR="00FA30D2" w:rsidRPr="00DE5E01" w:rsidRDefault="004D2BA3" w:rsidP="00D13C07">
      <w:pPr>
        <w:pStyle w:val="ListParagraph"/>
        <w:numPr>
          <w:ilvl w:val="0"/>
          <w:numId w:val="5"/>
        </w:numPr>
        <w:rPr>
          <w:rFonts w:ascii="Arial" w:hAnsi="Arial" w:cs="Arial"/>
          <w:bCs/>
          <w:sz w:val="16"/>
          <w:szCs w:val="16"/>
        </w:rPr>
      </w:pPr>
      <w:r w:rsidRPr="00DE5E01">
        <w:rPr>
          <w:rFonts w:ascii="Arial" w:hAnsi="Arial" w:cs="Arial"/>
          <w:bCs/>
          <w:sz w:val="16"/>
          <w:szCs w:val="16"/>
        </w:rPr>
        <w:t>Des PRI </w:t>
      </w:r>
    </w:p>
    <w:p w14:paraId="2A1AA5BF" w14:textId="37FD95DB" w:rsidR="00FA30D2" w:rsidRPr="00DE5E01" w:rsidRDefault="00FA30D2" w:rsidP="00FA30D2">
      <w:pPr>
        <w:rPr>
          <w:rFonts w:ascii="Arial" w:hAnsi="Arial" w:cs="Arial"/>
          <w:bCs/>
          <w:sz w:val="16"/>
          <w:szCs w:val="16"/>
        </w:rPr>
      </w:pPr>
      <w:r w:rsidRPr="00DE5E01">
        <w:rPr>
          <w:rFonts w:ascii="Arial" w:hAnsi="Arial" w:cs="Arial"/>
          <w:noProof/>
          <w:sz w:val="16"/>
          <w:szCs w:val="16"/>
        </w:rPr>
        <w:drawing>
          <wp:inline distT="0" distB="0" distL="0" distR="0" wp14:anchorId="166AC13C" wp14:editId="26BA3351">
            <wp:extent cx="1724025" cy="870436"/>
            <wp:effectExtent l="0" t="0" r="0" b="6350"/>
            <wp:docPr id="398485695"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85695" name="Picture 1" descr="A close-up of a card&#10;&#10;Description automatically generated with low confidence"/>
                    <pic:cNvPicPr/>
                  </pic:nvPicPr>
                  <pic:blipFill>
                    <a:blip r:embed="rId12"/>
                    <a:stretch>
                      <a:fillRect/>
                    </a:stretch>
                  </pic:blipFill>
                  <pic:spPr>
                    <a:xfrm>
                      <a:off x="0" y="0"/>
                      <a:ext cx="1735113" cy="876034"/>
                    </a:xfrm>
                    <a:prstGeom prst="rect">
                      <a:avLst/>
                    </a:prstGeom>
                  </pic:spPr>
                </pic:pic>
              </a:graphicData>
            </a:graphic>
          </wp:inline>
        </w:drawing>
      </w:r>
    </w:p>
    <w:p w14:paraId="4EA4CC1D" w14:textId="580099D7" w:rsidR="004D2BA3" w:rsidRPr="00DE5E01" w:rsidRDefault="004D2BA3" w:rsidP="00D13C07">
      <w:pPr>
        <w:pStyle w:val="ListParagraph"/>
        <w:numPr>
          <w:ilvl w:val="0"/>
          <w:numId w:val="5"/>
        </w:numPr>
        <w:rPr>
          <w:rFonts w:ascii="Arial" w:hAnsi="Arial" w:cs="Arial"/>
          <w:bCs/>
          <w:sz w:val="16"/>
          <w:szCs w:val="16"/>
        </w:rPr>
      </w:pPr>
      <w:r w:rsidRPr="00DE5E01">
        <w:rPr>
          <w:rFonts w:ascii="Arial" w:hAnsi="Arial" w:cs="Arial"/>
          <w:bCs/>
          <w:sz w:val="16"/>
          <w:szCs w:val="16"/>
        </w:rPr>
        <w:t xml:space="preserve">(Principles for </w:t>
      </w:r>
      <w:proofErr w:type="spellStart"/>
      <w:r w:rsidRPr="00DE5E01">
        <w:rPr>
          <w:rFonts w:ascii="Arial" w:hAnsi="Arial" w:cs="Arial"/>
          <w:bCs/>
          <w:sz w:val="16"/>
          <w:szCs w:val="16"/>
        </w:rPr>
        <w:t>Responsible</w:t>
      </w:r>
      <w:proofErr w:type="spellEnd"/>
      <w:r w:rsidRPr="00DE5E01">
        <w:rPr>
          <w:rFonts w:ascii="Arial" w:hAnsi="Arial" w:cs="Arial"/>
          <w:bCs/>
          <w:sz w:val="16"/>
          <w:szCs w:val="16"/>
        </w:rPr>
        <w:t xml:space="preserve"> Investment), principale initiative mondiale pour promouvoir l’investissement responsable. Par cette signature, IRDI capital Investissement s’engage à prendre en compte les questions ESG dans les processus d’analyse et de décision en matière d’investissement ainsi que dans ses politiques et pratiques d’actionnaire. Nous nous engageons également à demander aux entités dans lesquelles nous investissons de publier les informations appropriées sur les questions ESG et favorisons l’acceptation et l’application des PRI auprès des acteurs de la gestion d’actifs. Enfin, cette signature nous engage à rendre compte de nos activités et progrès dans le déploiement des PRI et à œuvrer ensemble pour accroitre notre efficacité dans leur application.</w:t>
      </w:r>
    </w:p>
    <w:p w14:paraId="22A0C317" w14:textId="77777777" w:rsidR="00FA30D2" w:rsidRPr="00DE5E01" w:rsidRDefault="00FA30D2" w:rsidP="00FA30D2">
      <w:pPr>
        <w:pStyle w:val="ListParagraph"/>
        <w:ind w:left="1080"/>
        <w:rPr>
          <w:rFonts w:ascii="Arial" w:hAnsi="Arial" w:cs="Arial"/>
          <w:bCs/>
          <w:sz w:val="16"/>
          <w:szCs w:val="16"/>
        </w:rPr>
      </w:pPr>
    </w:p>
    <w:p w14:paraId="1A6E66B5" w14:textId="77777777" w:rsidR="00D13C07" w:rsidRPr="00DE5E01" w:rsidRDefault="00D13C07" w:rsidP="00D13C07">
      <w:pPr>
        <w:pStyle w:val="ListParagraph"/>
        <w:rPr>
          <w:rFonts w:ascii="Arial" w:hAnsi="Arial" w:cs="Arial"/>
          <w:bCs/>
          <w:sz w:val="16"/>
          <w:szCs w:val="16"/>
        </w:rPr>
      </w:pPr>
    </w:p>
    <w:p w14:paraId="75418C0B" w14:textId="77777777" w:rsidR="00FA30D2" w:rsidRPr="00DE5E01" w:rsidRDefault="00D13C07" w:rsidP="00D13C07">
      <w:pPr>
        <w:pStyle w:val="ListParagraph"/>
        <w:numPr>
          <w:ilvl w:val="0"/>
          <w:numId w:val="5"/>
        </w:numPr>
        <w:rPr>
          <w:rFonts w:ascii="Arial" w:hAnsi="Arial" w:cs="Arial"/>
          <w:bCs/>
          <w:sz w:val="16"/>
          <w:szCs w:val="16"/>
        </w:rPr>
      </w:pPr>
      <w:r w:rsidRPr="00DE5E01">
        <w:rPr>
          <w:rFonts w:ascii="Arial" w:hAnsi="Arial" w:cs="Arial"/>
          <w:bCs/>
          <w:sz w:val="16"/>
          <w:szCs w:val="16"/>
        </w:rPr>
        <w:t xml:space="preserve">La charte Parité de France INVEST </w:t>
      </w:r>
    </w:p>
    <w:p w14:paraId="54B16EB9" w14:textId="77EC10F1" w:rsidR="00D13C07" w:rsidRPr="00DE5E01" w:rsidRDefault="00FA30D2" w:rsidP="00FA30D2">
      <w:pPr>
        <w:rPr>
          <w:rFonts w:ascii="Arial" w:hAnsi="Arial" w:cs="Arial"/>
          <w:bCs/>
          <w:sz w:val="16"/>
          <w:szCs w:val="16"/>
        </w:rPr>
      </w:pPr>
      <w:r w:rsidRPr="00DE5E01">
        <w:rPr>
          <w:rFonts w:ascii="Arial" w:hAnsi="Arial" w:cs="Arial"/>
          <w:bCs/>
          <w:sz w:val="16"/>
          <w:szCs w:val="16"/>
        </w:rPr>
        <w:t xml:space="preserve">IRDI CAPITAL INVESTISSEMENT en est signataire </w:t>
      </w:r>
      <w:r w:rsidR="00D13C07" w:rsidRPr="00DE5E01">
        <w:rPr>
          <w:rFonts w:ascii="Arial" w:hAnsi="Arial" w:cs="Arial"/>
          <w:bCs/>
          <w:sz w:val="16"/>
          <w:szCs w:val="16"/>
        </w:rPr>
        <w:t>depuis mars 2020</w:t>
      </w:r>
      <w:r w:rsidRPr="00DE5E01">
        <w:rPr>
          <w:rFonts w:ascii="Arial" w:hAnsi="Arial" w:cs="Arial"/>
          <w:bCs/>
          <w:sz w:val="16"/>
          <w:szCs w:val="16"/>
        </w:rPr>
        <w:t xml:space="preserve">. Elle </w:t>
      </w:r>
      <w:r w:rsidR="00D13C07" w:rsidRPr="00DE5E01">
        <w:rPr>
          <w:rFonts w:ascii="Arial" w:hAnsi="Arial" w:cs="Arial"/>
          <w:bCs/>
          <w:sz w:val="16"/>
          <w:szCs w:val="16"/>
        </w:rPr>
        <w:t xml:space="preserve">vise à favoriser la parité femmes-hommes chez les acteurs du Capital Investissement et les entreprises en visant notamment : </w:t>
      </w:r>
    </w:p>
    <w:p w14:paraId="4D5B7FAF" w14:textId="77777777" w:rsidR="00D13C07" w:rsidRPr="00DE5E01" w:rsidRDefault="00D13C07" w:rsidP="00D13C07">
      <w:pPr>
        <w:pStyle w:val="ListParagraph"/>
        <w:rPr>
          <w:rFonts w:ascii="Arial" w:hAnsi="Arial" w:cs="Arial"/>
          <w:bCs/>
          <w:sz w:val="16"/>
          <w:szCs w:val="16"/>
        </w:rPr>
      </w:pPr>
    </w:p>
    <w:p w14:paraId="6A40A735" w14:textId="0CF7AB75" w:rsidR="00D13C07" w:rsidRPr="00DE5E01" w:rsidRDefault="00D13C07" w:rsidP="00D13C07">
      <w:pPr>
        <w:pStyle w:val="ListParagraph"/>
        <w:numPr>
          <w:ilvl w:val="2"/>
          <w:numId w:val="4"/>
        </w:numPr>
        <w:rPr>
          <w:rFonts w:ascii="Arial" w:hAnsi="Arial" w:cs="Arial"/>
          <w:bCs/>
          <w:sz w:val="16"/>
          <w:szCs w:val="16"/>
        </w:rPr>
      </w:pPr>
      <w:r w:rsidRPr="00DE5E01">
        <w:rPr>
          <w:rFonts w:ascii="Arial" w:hAnsi="Arial" w:cs="Arial"/>
          <w:bCs/>
          <w:sz w:val="16"/>
          <w:szCs w:val="16"/>
        </w:rPr>
        <w:t>L’atteinte de 25% des femmes ayant une responsabilité dans les décisions du comité d’investissement d’ici 2030 et 30% d’ici 2035</w:t>
      </w:r>
    </w:p>
    <w:p w14:paraId="280102CC" w14:textId="77777777" w:rsidR="00D13C07" w:rsidRPr="00DE5E01" w:rsidRDefault="00D13C07" w:rsidP="00D13C07">
      <w:pPr>
        <w:pStyle w:val="ListParagraph"/>
        <w:rPr>
          <w:rFonts w:ascii="Arial" w:hAnsi="Arial" w:cs="Arial"/>
          <w:bCs/>
          <w:sz w:val="16"/>
          <w:szCs w:val="16"/>
        </w:rPr>
      </w:pPr>
    </w:p>
    <w:p w14:paraId="0F115BF2" w14:textId="4BA060C3" w:rsidR="00D13C07" w:rsidRPr="00DE5E01" w:rsidRDefault="00D13C07" w:rsidP="00D13C07">
      <w:pPr>
        <w:pStyle w:val="ListParagraph"/>
        <w:numPr>
          <w:ilvl w:val="2"/>
          <w:numId w:val="4"/>
        </w:numPr>
        <w:rPr>
          <w:rFonts w:ascii="Arial" w:hAnsi="Arial" w:cs="Arial"/>
          <w:bCs/>
          <w:sz w:val="16"/>
          <w:szCs w:val="16"/>
        </w:rPr>
      </w:pPr>
      <w:r w:rsidRPr="00DE5E01">
        <w:rPr>
          <w:rFonts w:ascii="Arial" w:hAnsi="Arial" w:cs="Arial"/>
          <w:bCs/>
          <w:sz w:val="16"/>
          <w:szCs w:val="16"/>
        </w:rPr>
        <w:t>L’atteinte de 40% des femmes dans les équipes d’investissement en 2030</w:t>
      </w:r>
    </w:p>
    <w:p w14:paraId="259D305F" w14:textId="77777777" w:rsidR="00D13C07" w:rsidRPr="00DE5E01" w:rsidRDefault="00D13C07" w:rsidP="00D13C07">
      <w:pPr>
        <w:pStyle w:val="ListParagraph"/>
        <w:rPr>
          <w:rFonts w:ascii="Arial" w:hAnsi="Arial" w:cs="Arial"/>
          <w:bCs/>
          <w:sz w:val="16"/>
          <w:szCs w:val="16"/>
        </w:rPr>
      </w:pPr>
    </w:p>
    <w:p w14:paraId="213FBF5E" w14:textId="60497079" w:rsidR="00D13C07" w:rsidRPr="00DE5E01" w:rsidRDefault="00D13C07" w:rsidP="00D13C07">
      <w:pPr>
        <w:pStyle w:val="ListParagraph"/>
        <w:numPr>
          <w:ilvl w:val="2"/>
          <w:numId w:val="4"/>
        </w:numPr>
        <w:rPr>
          <w:rFonts w:ascii="Arial" w:hAnsi="Arial" w:cs="Arial"/>
          <w:bCs/>
          <w:sz w:val="16"/>
          <w:szCs w:val="16"/>
        </w:rPr>
      </w:pPr>
      <w:r w:rsidRPr="00DE5E01">
        <w:rPr>
          <w:rFonts w:ascii="Arial" w:hAnsi="Arial" w:cs="Arial"/>
          <w:bCs/>
          <w:sz w:val="16"/>
          <w:szCs w:val="16"/>
        </w:rPr>
        <w:t>L’atteinte du palier de 30% des femmes au COMEX en 2030 pour les entreprises de plus de 500 salariés</w:t>
      </w:r>
    </w:p>
    <w:p w14:paraId="07F6A339" w14:textId="77777777" w:rsidR="00D13C07" w:rsidRPr="00DE5E01" w:rsidRDefault="00D13C07" w:rsidP="00D13C07">
      <w:pPr>
        <w:pStyle w:val="ListParagraph"/>
        <w:rPr>
          <w:rFonts w:ascii="Arial" w:hAnsi="Arial" w:cs="Arial"/>
          <w:bCs/>
          <w:sz w:val="16"/>
          <w:szCs w:val="16"/>
        </w:rPr>
      </w:pPr>
    </w:p>
    <w:p w14:paraId="74A20DC1" w14:textId="26649AEF" w:rsidR="00D13C07" w:rsidRPr="00DE5E01" w:rsidRDefault="00D13C07" w:rsidP="00D13C07">
      <w:pPr>
        <w:pStyle w:val="ListParagraph"/>
        <w:numPr>
          <w:ilvl w:val="2"/>
          <w:numId w:val="4"/>
        </w:numPr>
        <w:rPr>
          <w:rFonts w:ascii="Arial" w:hAnsi="Arial" w:cs="Arial"/>
          <w:bCs/>
          <w:sz w:val="16"/>
          <w:szCs w:val="16"/>
        </w:rPr>
      </w:pPr>
      <w:r w:rsidRPr="00DE5E01">
        <w:rPr>
          <w:rFonts w:ascii="Arial" w:hAnsi="Arial" w:cs="Arial"/>
          <w:bCs/>
          <w:sz w:val="16"/>
          <w:szCs w:val="16"/>
        </w:rPr>
        <w:t xml:space="preserve">25% de start-ups financées en 2025, cofondées ou dirigées par des femmes, 30% en 2030 et 50% en 2050. </w:t>
      </w:r>
    </w:p>
    <w:p w14:paraId="6E23E77A" w14:textId="77777777" w:rsidR="00D13C07" w:rsidRPr="00DE5E01" w:rsidRDefault="00D13C07" w:rsidP="00D13C07">
      <w:pPr>
        <w:spacing w:after="60"/>
        <w:jc w:val="both"/>
        <w:rPr>
          <w:rFonts w:ascii="Arial" w:hAnsi="Arial" w:cs="Arial"/>
          <w:bCs/>
          <w:sz w:val="16"/>
          <w:szCs w:val="16"/>
        </w:rPr>
      </w:pPr>
    </w:p>
    <w:p w14:paraId="77C02E7B" w14:textId="432FE65F" w:rsidR="00D13C07" w:rsidRPr="00DE5E01" w:rsidRDefault="00FA30D2" w:rsidP="004D2BA3">
      <w:pPr>
        <w:spacing w:after="60"/>
        <w:jc w:val="both"/>
        <w:rPr>
          <w:rFonts w:ascii="Arial" w:hAnsi="Arial" w:cs="Arial"/>
          <w:bCs/>
          <w:sz w:val="16"/>
          <w:szCs w:val="16"/>
        </w:rPr>
      </w:pPr>
      <w:r w:rsidRPr="00DE5E01">
        <w:rPr>
          <w:rFonts w:ascii="Arial" w:hAnsi="Arial" w:cs="Arial"/>
          <w:bCs/>
          <w:sz w:val="16"/>
          <w:szCs w:val="16"/>
        </w:rPr>
        <w:t>T</w:t>
      </w:r>
      <w:r w:rsidR="00D13C07" w:rsidRPr="00DE5E01">
        <w:rPr>
          <w:rFonts w:ascii="Arial" w:hAnsi="Arial" w:cs="Arial"/>
          <w:bCs/>
          <w:sz w:val="16"/>
          <w:szCs w:val="16"/>
        </w:rPr>
        <w:t xml:space="preserve">rois de </w:t>
      </w:r>
      <w:r w:rsidR="004D2BA3" w:rsidRPr="00DE5E01">
        <w:rPr>
          <w:rFonts w:ascii="Arial" w:hAnsi="Arial" w:cs="Arial"/>
          <w:bCs/>
          <w:sz w:val="16"/>
          <w:szCs w:val="16"/>
        </w:rPr>
        <w:t>nos FPCI bénéficient du LABEL RELANCE</w:t>
      </w:r>
      <w:r w:rsidR="00D13C07" w:rsidRPr="00DE5E01">
        <w:rPr>
          <w:rFonts w:ascii="Arial" w:hAnsi="Arial" w:cs="Arial"/>
          <w:bCs/>
          <w:sz w:val="16"/>
          <w:szCs w:val="16"/>
        </w:rPr>
        <w:t>.</w:t>
      </w:r>
    </w:p>
    <w:p w14:paraId="6F49D1C1" w14:textId="40EFE02E" w:rsidR="00FA30D2" w:rsidRPr="00DE5E01" w:rsidRDefault="00FA30D2" w:rsidP="004D2BA3">
      <w:pPr>
        <w:spacing w:after="60"/>
        <w:jc w:val="both"/>
        <w:rPr>
          <w:rFonts w:ascii="Arial" w:hAnsi="Arial" w:cs="Arial"/>
          <w:bCs/>
          <w:sz w:val="16"/>
          <w:szCs w:val="16"/>
        </w:rPr>
      </w:pPr>
      <w:r w:rsidRPr="00DE5E01">
        <w:rPr>
          <w:rFonts w:ascii="Arial" w:hAnsi="Arial" w:cs="Arial"/>
          <w:noProof/>
          <w:sz w:val="16"/>
          <w:szCs w:val="16"/>
        </w:rPr>
        <w:drawing>
          <wp:inline distT="0" distB="0" distL="0" distR="0" wp14:anchorId="4D781722" wp14:editId="13FFCB8B">
            <wp:extent cx="1792956" cy="876300"/>
            <wp:effectExtent l="0" t="0" r="0" b="0"/>
            <wp:docPr id="767761108"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61108" name="Picture 1" descr="A close-up of a logo&#10;&#10;Description automatically generated with medium confidence"/>
                    <pic:cNvPicPr/>
                  </pic:nvPicPr>
                  <pic:blipFill>
                    <a:blip r:embed="rId13"/>
                    <a:stretch>
                      <a:fillRect/>
                    </a:stretch>
                  </pic:blipFill>
                  <pic:spPr>
                    <a:xfrm>
                      <a:off x="0" y="0"/>
                      <a:ext cx="1796553" cy="878058"/>
                    </a:xfrm>
                    <a:prstGeom prst="rect">
                      <a:avLst/>
                    </a:prstGeom>
                  </pic:spPr>
                </pic:pic>
              </a:graphicData>
            </a:graphic>
          </wp:inline>
        </w:drawing>
      </w:r>
    </w:p>
    <w:p w14:paraId="6A6FAF2C" w14:textId="77777777" w:rsidR="00FA30D2" w:rsidRPr="00DE5E01" w:rsidRDefault="00FA30D2" w:rsidP="004D2BA3">
      <w:pPr>
        <w:spacing w:after="60"/>
        <w:jc w:val="both"/>
        <w:rPr>
          <w:rFonts w:ascii="Arial" w:hAnsi="Arial" w:cs="Arial"/>
          <w:bCs/>
          <w:sz w:val="16"/>
          <w:szCs w:val="16"/>
        </w:rPr>
      </w:pPr>
    </w:p>
    <w:p w14:paraId="0164FD9C" w14:textId="18D3D554" w:rsidR="00D13C07" w:rsidRPr="00DE5E01" w:rsidRDefault="00D13C07" w:rsidP="004D2BA3">
      <w:pPr>
        <w:spacing w:after="60"/>
        <w:jc w:val="both"/>
        <w:rPr>
          <w:rFonts w:ascii="Arial" w:hAnsi="Arial" w:cs="Arial"/>
          <w:bCs/>
          <w:sz w:val="16"/>
          <w:szCs w:val="16"/>
        </w:rPr>
      </w:pPr>
      <w:r w:rsidRPr="00DE5E01">
        <w:rPr>
          <w:rFonts w:ascii="Arial" w:hAnsi="Arial" w:cs="Arial"/>
          <w:bCs/>
          <w:sz w:val="16"/>
          <w:szCs w:val="16"/>
        </w:rPr>
        <w:t>Cette charte a notamment pour objectif d’apporter une attention particulière sur la gestion des caractéristiques suivantes</w:t>
      </w:r>
      <w:r w:rsidR="006C7A44" w:rsidRPr="00DE5E01">
        <w:rPr>
          <w:rFonts w:ascii="Arial" w:hAnsi="Arial" w:cs="Arial"/>
          <w:bCs/>
          <w:sz w:val="16"/>
          <w:szCs w:val="16"/>
        </w:rPr>
        <w:t xml:space="preserve"> (avec un taux d’analyse extra-financier de minimum 75%)</w:t>
      </w:r>
      <w:r w:rsidRPr="00DE5E01">
        <w:rPr>
          <w:rFonts w:ascii="Arial" w:hAnsi="Arial" w:cs="Arial"/>
          <w:bCs/>
          <w:sz w:val="16"/>
          <w:szCs w:val="16"/>
        </w:rPr>
        <w:t xml:space="preserve"> : </w:t>
      </w:r>
    </w:p>
    <w:p w14:paraId="3B19377B" w14:textId="77777777" w:rsidR="00D13C07" w:rsidRPr="00DE5E01" w:rsidRDefault="00D13C07" w:rsidP="004D2BA3">
      <w:pPr>
        <w:spacing w:after="60"/>
        <w:jc w:val="both"/>
        <w:rPr>
          <w:rFonts w:ascii="Arial" w:hAnsi="Arial" w:cs="Arial"/>
          <w:bCs/>
          <w:sz w:val="16"/>
          <w:szCs w:val="16"/>
        </w:rPr>
      </w:pPr>
    </w:p>
    <w:p w14:paraId="770B12F3" w14:textId="77777777"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t>Mesures favorables à la transition écologique, en particulier de réduction de GES</w:t>
      </w:r>
    </w:p>
    <w:p w14:paraId="61543C80" w14:textId="77777777"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lastRenderedPageBreak/>
        <w:t xml:space="preserve">Dispositifs de partage de la valeur avec les salariés (plan d’actionnariat salarié, </w:t>
      </w:r>
    </w:p>
    <w:p w14:paraId="77A1DDDA" w14:textId="77777777"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t xml:space="preserve">plan d’attribution d’actions gratuites, intéressement, participation, plans d’épargne </w:t>
      </w:r>
    </w:p>
    <w:p w14:paraId="17C8EEDB" w14:textId="77777777"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t xml:space="preserve">salariale, etc.). </w:t>
      </w:r>
    </w:p>
    <w:p w14:paraId="324DFDB4" w14:textId="77777777"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t>Mesures sociales, notamment en matière de préservation de l’emploi, de formation et d’inclusion.</w:t>
      </w:r>
    </w:p>
    <w:p w14:paraId="4BE8FBC5" w14:textId="77777777"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t xml:space="preserve">Meilleures pratiques de gouvernance (mise en place de comités de rémunération, </w:t>
      </w:r>
    </w:p>
    <w:p w14:paraId="06E1F93E" w14:textId="77777777"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t>d’audit, présence d’administrateurs indépendants et d’administrateurs salariés, de</w:t>
      </w:r>
    </w:p>
    <w:p w14:paraId="25CE06D3" w14:textId="0236AEF1" w:rsidR="00D13C07" w:rsidRPr="00DE5E01" w:rsidRDefault="00D13C07" w:rsidP="00D13C07">
      <w:pPr>
        <w:pStyle w:val="ListParagraph"/>
        <w:spacing w:after="60"/>
        <w:ind w:left="1080"/>
        <w:jc w:val="both"/>
        <w:rPr>
          <w:rFonts w:ascii="Arial" w:hAnsi="Arial" w:cs="Arial"/>
          <w:bCs/>
          <w:sz w:val="16"/>
          <w:szCs w:val="16"/>
        </w:rPr>
      </w:pPr>
      <w:r w:rsidRPr="00DE5E01">
        <w:rPr>
          <w:rFonts w:ascii="Arial" w:hAnsi="Arial" w:cs="Arial"/>
          <w:bCs/>
          <w:sz w:val="16"/>
          <w:szCs w:val="16"/>
        </w:rPr>
        <w:t xml:space="preserve">pactes d’actionnaires, etc.). </w:t>
      </w:r>
    </w:p>
    <w:p w14:paraId="6BE88765" w14:textId="7CF1C7C8" w:rsidR="00D13C07" w:rsidRPr="00DE5E01" w:rsidRDefault="00D13C07" w:rsidP="00D13C07">
      <w:pPr>
        <w:pStyle w:val="ListParagraph"/>
        <w:numPr>
          <w:ilvl w:val="0"/>
          <w:numId w:val="5"/>
        </w:numPr>
        <w:spacing w:after="60"/>
        <w:jc w:val="both"/>
        <w:rPr>
          <w:rFonts w:ascii="Arial" w:hAnsi="Arial" w:cs="Arial"/>
          <w:bCs/>
          <w:sz w:val="16"/>
          <w:szCs w:val="16"/>
        </w:rPr>
      </w:pPr>
      <w:r w:rsidRPr="00DE5E01">
        <w:rPr>
          <w:rFonts w:ascii="Arial" w:hAnsi="Arial" w:cs="Arial"/>
          <w:bCs/>
          <w:sz w:val="16"/>
          <w:szCs w:val="16"/>
        </w:rPr>
        <w:t xml:space="preserve">Egalité femmes-hommes (présence de femmes aux postes de direction, actions </w:t>
      </w:r>
    </w:p>
    <w:p w14:paraId="6C7EE644" w14:textId="529F171D" w:rsidR="004D2BA3" w:rsidRPr="00DE5E01" w:rsidRDefault="00D13C07" w:rsidP="00D13C07">
      <w:pPr>
        <w:pStyle w:val="ListParagraph"/>
        <w:spacing w:after="60"/>
        <w:ind w:left="1080"/>
        <w:jc w:val="both"/>
        <w:rPr>
          <w:rFonts w:ascii="Arial" w:hAnsi="Arial" w:cs="Arial"/>
          <w:bCs/>
          <w:sz w:val="16"/>
          <w:szCs w:val="16"/>
        </w:rPr>
      </w:pPr>
      <w:r w:rsidRPr="00DE5E01">
        <w:rPr>
          <w:rFonts w:ascii="Arial" w:hAnsi="Arial" w:cs="Arial"/>
          <w:bCs/>
          <w:sz w:val="16"/>
          <w:szCs w:val="16"/>
        </w:rPr>
        <w:t>visant à promouvoir la parité au sein de l’entreprise, etc.).</w:t>
      </w:r>
      <w:r w:rsidR="004D2BA3" w:rsidRPr="00DE5E01">
        <w:rPr>
          <w:rFonts w:ascii="Arial" w:hAnsi="Arial" w:cs="Arial"/>
          <w:bCs/>
          <w:sz w:val="16"/>
          <w:szCs w:val="16"/>
        </w:rPr>
        <w:t xml:space="preserve"> </w:t>
      </w:r>
    </w:p>
    <w:p w14:paraId="291D9BAA" w14:textId="5E7C90C4" w:rsidR="00D13C07" w:rsidRPr="00DE5E01" w:rsidRDefault="00D13C07" w:rsidP="00D13C07">
      <w:pPr>
        <w:pStyle w:val="ListParagraph"/>
        <w:spacing w:after="60"/>
        <w:ind w:left="1080"/>
        <w:jc w:val="both"/>
        <w:rPr>
          <w:rFonts w:ascii="Arial" w:hAnsi="Arial" w:cs="Arial"/>
          <w:bCs/>
          <w:sz w:val="16"/>
          <w:szCs w:val="16"/>
        </w:rPr>
      </w:pPr>
      <w:r w:rsidRPr="00DE5E01">
        <w:rPr>
          <w:rFonts w:ascii="Arial" w:hAnsi="Arial" w:cs="Arial"/>
          <w:bCs/>
          <w:sz w:val="16"/>
          <w:szCs w:val="16"/>
        </w:rPr>
        <w:t xml:space="preserve">Cette adhésion au LABEL RELANCE exclue également les sociétés exerçant des activités liées au charbon de l’univers </w:t>
      </w:r>
      <w:proofErr w:type="spellStart"/>
      <w:r w:rsidRPr="00DE5E01">
        <w:rPr>
          <w:rFonts w:ascii="Arial" w:hAnsi="Arial" w:cs="Arial"/>
          <w:bCs/>
          <w:sz w:val="16"/>
          <w:szCs w:val="16"/>
        </w:rPr>
        <w:t>investissable</w:t>
      </w:r>
      <w:proofErr w:type="spellEnd"/>
    </w:p>
    <w:p w14:paraId="78744FF4" w14:textId="77777777" w:rsidR="00FA30D2" w:rsidRPr="00DE5E01" w:rsidRDefault="00FA30D2" w:rsidP="00FA30D2">
      <w:pPr>
        <w:spacing w:after="60"/>
        <w:jc w:val="both"/>
        <w:rPr>
          <w:rFonts w:ascii="Arial" w:hAnsi="Arial" w:cs="Arial"/>
          <w:bCs/>
          <w:sz w:val="16"/>
          <w:szCs w:val="16"/>
        </w:rPr>
      </w:pPr>
    </w:p>
    <w:p w14:paraId="66062899" w14:textId="476DB81A" w:rsidR="00CD76E0" w:rsidRPr="00CD76E0" w:rsidRDefault="00FA30D2" w:rsidP="00CD76E0">
      <w:pPr>
        <w:spacing w:after="60"/>
        <w:jc w:val="both"/>
        <w:rPr>
          <w:rFonts w:ascii="Arial" w:hAnsi="Arial" w:cs="Arial"/>
          <w:bCs/>
          <w:sz w:val="16"/>
          <w:szCs w:val="16"/>
        </w:rPr>
      </w:pPr>
      <w:r w:rsidRPr="00DE5E01">
        <w:rPr>
          <w:rFonts w:ascii="Arial" w:hAnsi="Arial" w:cs="Arial"/>
          <w:bCs/>
          <w:sz w:val="16"/>
          <w:szCs w:val="16"/>
        </w:rPr>
        <w:t xml:space="preserve">Enfin, IRDI CAPITAL INVESTISSEMENT est un </w:t>
      </w:r>
      <w:r w:rsidR="00CD76E0">
        <w:rPr>
          <w:rFonts w:ascii="Arial" w:hAnsi="Arial" w:cs="Arial"/>
          <w:bCs/>
          <w:sz w:val="16"/>
          <w:szCs w:val="16"/>
        </w:rPr>
        <w:t xml:space="preserve">membre </w:t>
      </w:r>
      <w:r w:rsidRPr="00DE5E01">
        <w:rPr>
          <w:rFonts w:ascii="Arial" w:hAnsi="Arial" w:cs="Arial"/>
          <w:bCs/>
          <w:sz w:val="16"/>
          <w:szCs w:val="16"/>
        </w:rPr>
        <w:t>fondateur du collectif d’entreprises le Cœur des Entreprises</w:t>
      </w:r>
      <w:r w:rsidR="00CD76E0" w:rsidRPr="00CD76E0">
        <w:rPr>
          <w:rFonts w:ascii="Arial" w:hAnsi="Arial" w:cs="Arial"/>
          <w:bCs/>
          <w:sz w:val="16"/>
          <w:szCs w:val="16"/>
        </w:rPr>
        <w:t xml:space="preserve"> valorisant l’engagement collaborateur envers les plus fragiles : https://www.lecoeurdesentreprises.org/</w:t>
      </w:r>
    </w:p>
    <w:p w14:paraId="30A2468D" w14:textId="15505F89" w:rsidR="00FA30D2" w:rsidRPr="00DE5E01" w:rsidRDefault="00FA30D2" w:rsidP="00FA30D2">
      <w:pPr>
        <w:spacing w:after="60"/>
        <w:jc w:val="both"/>
        <w:rPr>
          <w:rFonts w:ascii="Arial" w:hAnsi="Arial" w:cs="Arial"/>
          <w:bCs/>
          <w:sz w:val="16"/>
          <w:szCs w:val="16"/>
        </w:rPr>
      </w:pPr>
    </w:p>
    <w:p w14:paraId="43AA60FD" w14:textId="77777777" w:rsidR="00E3399F" w:rsidRPr="00DE5E01" w:rsidRDefault="00E3399F" w:rsidP="00FA30D2">
      <w:pPr>
        <w:spacing w:after="60"/>
        <w:jc w:val="both"/>
        <w:rPr>
          <w:rFonts w:ascii="Arial" w:hAnsi="Arial" w:cs="Arial"/>
          <w:bCs/>
          <w:sz w:val="16"/>
          <w:szCs w:val="16"/>
        </w:rPr>
      </w:pPr>
    </w:p>
    <w:p w14:paraId="3338A3D6" w14:textId="6EA3E9E9" w:rsidR="00D13C07" w:rsidRPr="00DE5E01" w:rsidRDefault="00FA30D2" w:rsidP="004D2BA3">
      <w:pPr>
        <w:spacing w:after="60"/>
        <w:jc w:val="both"/>
        <w:rPr>
          <w:rFonts w:ascii="Arial" w:hAnsi="Arial" w:cs="Arial"/>
          <w:b/>
          <w:color w:val="00B050"/>
          <w:sz w:val="16"/>
          <w:szCs w:val="16"/>
        </w:rPr>
      </w:pPr>
      <w:r w:rsidRPr="00DE5E01">
        <w:rPr>
          <w:rFonts w:ascii="Arial" w:hAnsi="Arial" w:cs="Arial"/>
          <w:noProof/>
          <w:sz w:val="16"/>
          <w:szCs w:val="16"/>
        </w:rPr>
        <w:drawing>
          <wp:inline distT="0" distB="0" distL="0" distR="0" wp14:anchorId="21518775" wp14:editId="7AE0EC1A">
            <wp:extent cx="2867025" cy="890559"/>
            <wp:effectExtent l="0" t="0" r="0" b="5080"/>
            <wp:docPr id="717090277" name="Picture 1"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90277" name="Picture 1" descr="A white background with black text&#10;&#10;Description automatically generated with low confidence"/>
                    <pic:cNvPicPr/>
                  </pic:nvPicPr>
                  <pic:blipFill>
                    <a:blip r:embed="rId14"/>
                    <a:stretch>
                      <a:fillRect/>
                    </a:stretch>
                  </pic:blipFill>
                  <pic:spPr>
                    <a:xfrm>
                      <a:off x="0" y="0"/>
                      <a:ext cx="2872677" cy="892315"/>
                    </a:xfrm>
                    <a:prstGeom prst="rect">
                      <a:avLst/>
                    </a:prstGeom>
                  </pic:spPr>
                </pic:pic>
              </a:graphicData>
            </a:graphic>
          </wp:inline>
        </w:drawing>
      </w:r>
    </w:p>
    <w:p w14:paraId="0C2B10F0" w14:textId="77777777" w:rsidR="00FA30D2" w:rsidRPr="00DE5E01" w:rsidRDefault="00FA30D2" w:rsidP="004D2BA3">
      <w:pPr>
        <w:spacing w:after="60"/>
        <w:jc w:val="both"/>
        <w:rPr>
          <w:rFonts w:ascii="Arial" w:hAnsi="Arial" w:cs="Arial"/>
          <w:b/>
          <w:color w:val="00B050"/>
          <w:sz w:val="16"/>
          <w:szCs w:val="16"/>
        </w:rPr>
      </w:pPr>
    </w:p>
    <w:p w14:paraId="4426E58D" w14:textId="77777777" w:rsidR="00CD76E0" w:rsidRPr="00CD76E0" w:rsidRDefault="00CD76E0" w:rsidP="00CD76E0">
      <w:pPr>
        <w:spacing w:after="60"/>
        <w:jc w:val="both"/>
        <w:rPr>
          <w:rFonts w:ascii="Arial" w:hAnsi="Arial" w:cs="Arial"/>
          <w:bCs/>
          <w:sz w:val="16"/>
          <w:szCs w:val="16"/>
        </w:rPr>
      </w:pPr>
      <w:r w:rsidRPr="00CD76E0">
        <w:rPr>
          <w:rFonts w:ascii="Arial" w:hAnsi="Arial" w:cs="Arial"/>
          <w:bCs/>
          <w:sz w:val="16"/>
          <w:szCs w:val="16"/>
        </w:rPr>
        <w:t>Le Cœur des Entreprises est un fonds de dotation qui rassemble des entreprises du grand bassin toulousain souhaitant unir leurs forces pour lutter contre la précarité et les fragilités.</w:t>
      </w:r>
    </w:p>
    <w:p w14:paraId="5DC554BF" w14:textId="23413A13" w:rsidR="00E3399F" w:rsidRDefault="00CD76E0" w:rsidP="00CD76E0">
      <w:pPr>
        <w:spacing w:after="60"/>
        <w:jc w:val="both"/>
        <w:rPr>
          <w:rFonts w:ascii="Arial" w:hAnsi="Arial" w:cs="Arial"/>
          <w:bCs/>
          <w:sz w:val="16"/>
          <w:szCs w:val="16"/>
        </w:rPr>
      </w:pPr>
      <w:r w:rsidRPr="00CD76E0">
        <w:rPr>
          <w:rFonts w:ascii="Arial" w:hAnsi="Arial" w:cs="Arial"/>
          <w:bCs/>
          <w:sz w:val="16"/>
          <w:szCs w:val="16"/>
        </w:rPr>
        <w:t>Le Cœur des Entreprises agit comme un facilitateur et un accélérateur d’actions concrètes et accessibles à tous, en accompagnant des projets associatifs sur le territoire, en les relayant auprès des entreprises membres et en rapprochant d’un côté les besoins en bénévoles des associations et de l’autre les équipes des entreprises désireuses de s’engager.</w:t>
      </w:r>
    </w:p>
    <w:p w14:paraId="4852FCE0" w14:textId="77777777" w:rsidR="00CD76E0" w:rsidRPr="00DE5E01" w:rsidRDefault="00CD76E0" w:rsidP="00CD76E0">
      <w:pPr>
        <w:spacing w:after="60"/>
        <w:jc w:val="both"/>
        <w:rPr>
          <w:rFonts w:ascii="Arial" w:hAnsi="Arial" w:cs="Arial"/>
          <w:bCs/>
          <w:sz w:val="16"/>
          <w:szCs w:val="16"/>
        </w:rPr>
      </w:pPr>
    </w:p>
    <w:p w14:paraId="6D7F805D" w14:textId="1C022284" w:rsidR="00C77FE0" w:rsidRPr="00DE5E01" w:rsidRDefault="00C77FE0" w:rsidP="00F21720">
      <w:pPr>
        <w:pStyle w:val="ListParagraph"/>
        <w:numPr>
          <w:ilvl w:val="0"/>
          <w:numId w:val="2"/>
        </w:numPr>
        <w:spacing w:after="60"/>
        <w:contextualSpacing w:val="0"/>
        <w:jc w:val="both"/>
        <w:rPr>
          <w:rFonts w:ascii="Arial" w:hAnsi="Arial" w:cs="Arial"/>
          <w:b/>
          <w:bCs/>
          <w:sz w:val="16"/>
          <w:szCs w:val="16"/>
        </w:rPr>
      </w:pPr>
      <w:r w:rsidRPr="00DE5E01">
        <w:rPr>
          <w:rFonts w:ascii="Arial" w:hAnsi="Arial" w:cs="Arial"/>
          <w:b/>
          <w:bCs/>
          <w:sz w:val="16"/>
          <w:szCs w:val="16"/>
        </w:rPr>
        <w:t xml:space="preserve">Liste des produits financiers mentionnés en vertu de l'article 8 et 9 du Règlement </w:t>
      </w:r>
      <w:r w:rsidR="005D71F8" w:rsidRPr="00DE5E01">
        <w:rPr>
          <w:rFonts w:ascii="Arial" w:hAnsi="Arial" w:cs="Arial"/>
          <w:b/>
          <w:bCs/>
          <w:sz w:val="16"/>
          <w:szCs w:val="16"/>
        </w:rPr>
        <w:t>(UE) 2019/2088 du Parlement Européen et du Conseil du 27 novembre 2019 sur la publication d’informations en matière de durabilité dans le secteur des services financiers</w:t>
      </w:r>
      <w:r w:rsidRPr="00DE5E01">
        <w:rPr>
          <w:rFonts w:ascii="Arial" w:hAnsi="Arial" w:cs="Arial"/>
          <w:b/>
          <w:bCs/>
          <w:sz w:val="16"/>
          <w:szCs w:val="16"/>
        </w:rPr>
        <w:t xml:space="preserve"> (SFDR) </w:t>
      </w:r>
    </w:p>
    <w:p w14:paraId="0FD2C72F" w14:textId="77777777" w:rsidR="00E3399F" w:rsidRPr="00DE5E01" w:rsidRDefault="00E3399F" w:rsidP="000744BC">
      <w:pPr>
        <w:pStyle w:val="ListParagraph"/>
        <w:spacing w:after="60"/>
        <w:ind w:left="360"/>
        <w:contextualSpacing w:val="0"/>
        <w:jc w:val="both"/>
        <w:rPr>
          <w:rFonts w:ascii="Arial" w:hAnsi="Arial" w:cs="Arial"/>
          <w:b/>
          <w:bCs/>
          <w:sz w:val="16"/>
          <w:szCs w:val="16"/>
        </w:rPr>
      </w:pPr>
    </w:p>
    <w:p w14:paraId="4CABB03B" w14:textId="1192C4C7" w:rsidR="0018249B" w:rsidRDefault="0018249B" w:rsidP="0018249B">
      <w:pPr>
        <w:pStyle w:val="ListParagraph"/>
        <w:spacing w:after="120"/>
        <w:ind w:left="709"/>
        <w:contextualSpacing w:val="0"/>
        <w:jc w:val="both"/>
        <w:rPr>
          <w:rFonts w:ascii="Arial" w:hAnsi="Arial" w:cs="Arial"/>
          <w:b/>
          <w:color w:val="00B050"/>
          <w:sz w:val="16"/>
          <w:szCs w:val="16"/>
        </w:rPr>
      </w:pPr>
      <w:r w:rsidRPr="00DE5E01">
        <w:rPr>
          <w:rFonts w:ascii="Arial" w:hAnsi="Arial" w:cs="Arial"/>
          <w:b/>
          <w:color w:val="00B050"/>
          <w:sz w:val="16"/>
          <w:szCs w:val="16"/>
        </w:rPr>
        <w:t>Liste des produits financiers et part globale, en pourcentage, des encours sous gestion prenant en compte des critères environnementaux, sociaux et de qualité de gouvernance dans le montant total des encours gérés par l'entité</w:t>
      </w:r>
    </w:p>
    <w:p w14:paraId="339AAE48" w14:textId="77777777" w:rsidR="000744BC" w:rsidRPr="000744BC" w:rsidRDefault="000744BC" w:rsidP="0018249B">
      <w:pPr>
        <w:pStyle w:val="ListParagraph"/>
        <w:spacing w:after="120"/>
        <w:ind w:left="709"/>
        <w:contextualSpacing w:val="0"/>
        <w:jc w:val="both"/>
        <w:rPr>
          <w:rFonts w:ascii="Arial" w:hAnsi="Arial" w:cs="Arial"/>
          <w:bCs/>
          <w:sz w:val="16"/>
          <w:szCs w:val="16"/>
        </w:rPr>
      </w:pPr>
    </w:p>
    <w:p w14:paraId="7E1D71B9" w14:textId="6C3CA155" w:rsidR="000744BC" w:rsidRPr="000744BC" w:rsidRDefault="000744BC" w:rsidP="0018249B">
      <w:pPr>
        <w:pStyle w:val="ListParagraph"/>
        <w:spacing w:after="120"/>
        <w:ind w:left="709"/>
        <w:contextualSpacing w:val="0"/>
        <w:jc w:val="both"/>
        <w:rPr>
          <w:rFonts w:ascii="Arial" w:hAnsi="Arial" w:cs="Arial"/>
          <w:bCs/>
          <w:sz w:val="16"/>
          <w:szCs w:val="16"/>
        </w:rPr>
      </w:pPr>
      <w:r w:rsidRPr="000744BC">
        <w:rPr>
          <w:rFonts w:ascii="Arial" w:hAnsi="Arial" w:cs="Arial"/>
          <w:bCs/>
          <w:sz w:val="16"/>
          <w:szCs w:val="16"/>
        </w:rPr>
        <w:t xml:space="preserve">Les produits financiers gérés par IRDI CAPITAL INVESTISSEMENT sont : </w:t>
      </w:r>
    </w:p>
    <w:p w14:paraId="3F4031CD" w14:textId="7A14DC06" w:rsidR="000744BC" w:rsidRPr="000744BC" w:rsidRDefault="000744BC" w:rsidP="000744BC">
      <w:pPr>
        <w:pStyle w:val="ListParagraph"/>
        <w:numPr>
          <w:ilvl w:val="0"/>
          <w:numId w:val="5"/>
        </w:numPr>
        <w:spacing w:after="120"/>
        <w:contextualSpacing w:val="0"/>
        <w:jc w:val="both"/>
        <w:rPr>
          <w:rFonts w:ascii="Arial" w:hAnsi="Arial" w:cs="Arial"/>
          <w:bCs/>
          <w:sz w:val="16"/>
          <w:szCs w:val="16"/>
        </w:rPr>
      </w:pPr>
      <w:r w:rsidRPr="000744BC">
        <w:rPr>
          <w:rFonts w:ascii="Arial" w:hAnsi="Arial" w:cs="Arial"/>
          <w:bCs/>
          <w:sz w:val="16"/>
          <w:szCs w:val="16"/>
        </w:rPr>
        <w:t>FPCI AELIS INNOVATION</w:t>
      </w:r>
    </w:p>
    <w:p w14:paraId="65D9372C" w14:textId="3E57ED5C" w:rsidR="000744BC" w:rsidRPr="000744BC" w:rsidRDefault="000744BC" w:rsidP="000744BC">
      <w:pPr>
        <w:pStyle w:val="ListParagraph"/>
        <w:numPr>
          <w:ilvl w:val="0"/>
          <w:numId w:val="5"/>
        </w:numPr>
        <w:spacing w:after="120"/>
        <w:contextualSpacing w:val="0"/>
        <w:jc w:val="both"/>
        <w:rPr>
          <w:rFonts w:ascii="Arial" w:hAnsi="Arial" w:cs="Arial"/>
          <w:bCs/>
          <w:sz w:val="16"/>
          <w:szCs w:val="16"/>
        </w:rPr>
      </w:pPr>
      <w:r w:rsidRPr="000744BC">
        <w:rPr>
          <w:rFonts w:ascii="Arial" w:hAnsi="Arial" w:cs="Arial"/>
          <w:bCs/>
          <w:sz w:val="16"/>
          <w:szCs w:val="16"/>
        </w:rPr>
        <w:t>FPCI IRDINOV 2</w:t>
      </w:r>
    </w:p>
    <w:p w14:paraId="14D2CDBF" w14:textId="428FD7DF" w:rsidR="000744BC" w:rsidRPr="000744BC" w:rsidRDefault="000744BC" w:rsidP="000744BC">
      <w:pPr>
        <w:pStyle w:val="ListParagraph"/>
        <w:numPr>
          <w:ilvl w:val="0"/>
          <w:numId w:val="5"/>
        </w:numPr>
        <w:spacing w:after="120"/>
        <w:contextualSpacing w:val="0"/>
        <w:jc w:val="both"/>
        <w:rPr>
          <w:rFonts w:ascii="Arial" w:hAnsi="Arial" w:cs="Arial"/>
          <w:bCs/>
          <w:sz w:val="16"/>
          <w:szCs w:val="16"/>
        </w:rPr>
      </w:pPr>
      <w:r w:rsidRPr="000744BC">
        <w:rPr>
          <w:rFonts w:ascii="Arial" w:hAnsi="Arial" w:cs="Arial"/>
          <w:bCs/>
          <w:sz w:val="16"/>
          <w:szCs w:val="16"/>
        </w:rPr>
        <w:t>FPCI INN VEST PME OCCITANIE OUEST</w:t>
      </w:r>
    </w:p>
    <w:p w14:paraId="7476458A" w14:textId="3B024569" w:rsidR="000744BC" w:rsidRPr="000744BC" w:rsidRDefault="000744BC" w:rsidP="000744BC">
      <w:pPr>
        <w:pStyle w:val="ListParagraph"/>
        <w:numPr>
          <w:ilvl w:val="0"/>
          <w:numId w:val="5"/>
        </w:numPr>
        <w:spacing w:after="120"/>
        <w:contextualSpacing w:val="0"/>
        <w:jc w:val="both"/>
        <w:rPr>
          <w:rFonts w:ascii="Arial" w:hAnsi="Arial" w:cs="Arial"/>
          <w:bCs/>
          <w:sz w:val="16"/>
          <w:szCs w:val="16"/>
        </w:rPr>
      </w:pPr>
      <w:r w:rsidRPr="000744BC">
        <w:rPr>
          <w:rFonts w:ascii="Arial" w:hAnsi="Arial" w:cs="Arial"/>
          <w:bCs/>
          <w:sz w:val="16"/>
          <w:szCs w:val="16"/>
        </w:rPr>
        <w:t xml:space="preserve">FPCI INN VEST PME OCCITANIE EST </w:t>
      </w:r>
    </w:p>
    <w:p w14:paraId="2E85ED91" w14:textId="2637B70D" w:rsidR="000744BC" w:rsidRPr="000744BC" w:rsidRDefault="000744BC" w:rsidP="000744BC">
      <w:pPr>
        <w:pStyle w:val="ListParagraph"/>
        <w:numPr>
          <w:ilvl w:val="0"/>
          <w:numId w:val="5"/>
        </w:numPr>
        <w:spacing w:after="120"/>
        <w:contextualSpacing w:val="0"/>
        <w:jc w:val="both"/>
        <w:rPr>
          <w:rFonts w:ascii="Arial" w:hAnsi="Arial" w:cs="Arial"/>
          <w:bCs/>
          <w:sz w:val="16"/>
          <w:szCs w:val="16"/>
        </w:rPr>
      </w:pPr>
      <w:r w:rsidRPr="000744BC">
        <w:rPr>
          <w:rFonts w:ascii="Arial" w:hAnsi="Arial" w:cs="Arial"/>
          <w:bCs/>
          <w:sz w:val="16"/>
          <w:szCs w:val="16"/>
        </w:rPr>
        <w:t>FPCI IRDI IMPULSION</w:t>
      </w:r>
    </w:p>
    <w:p w14:paraId="49CD48B9" w14:textId="129C5A09" w:rsidR="000744BC" w:rsidRPr="000744BC" w:rsidRDefault="000744BC" w:rsidP="000744BC">
      <w:pPr>
        <w:pStyle w:val="ListParagraph"/>
        <w:numPr>
          <w:ilvl w:val="0"/>
          <w:numId w:val="5"/>
        </w:numPr>
        <w:spacing w:after="120"/>
        <w:contextualSpacing w:val="0"/>
        <w:jc w:val="both"/>
        <w:rPr>
          <w:rFonts w:ascii="Arial" w:hAnsi="Arial" w:cs="Arial"/>
          <w:bCs/>
          <w:sz w:val="16"/>
          <w:szCs w:val="16"/>
        </w:rPr>
      </w:pPr>
      <w:r w:rsidRPr="000744BC">
        <w:rPr>
          <w:rFonts w:ascii="Arial" w:hAnsi="Arial" w:cs="Arial"/>
          <w:bCs/>
          <w:sz w:val="16"/>
          <w:szCs w:val="16"/>
        </w:rPr>
        <w:t>FPCI IRDI B</w:t>
      </w:r>
    </w:p>
    <w:p w14:paraId="34BC6885" w14:textId="77777777" w:rsidR="000744BC" w:rsidRPr="000744BC" w:rsidRDefault="000744BC" w:rsidP="000744BC">
      <w:pPr>
        <w:spacing w:after="120"/>
        <w:jc w:val="both"/>
        <w:rPr>
          <w:rFonts w:ascii="Arial" w:hAnsi="Arial" w:cs="Arial"/>
          <w:bCs/>
          <w:sz w:val="16"/>
          <w:szCs w:val="16"/>
        </w:rPr>
      </w:pPr>
    </w:p>
    <w:p w14:paraId="6E72136D" w14:textId="5D2E0B4C" w:rsidR="000744BC" w:rsidRPr="000744BC" w:rsidRDefault="000744BC" w:rsidP="000744BC">
      <w:pPr>
        <w:jc w:val="both"/>
        <w:rPr>
          <w:rFonts w:ascii="Arial" w:hAnsi="Arial" w:cs="Arial"/>
          <w:bCs/>
          <w:sz w:val="16"/>
          <w:szCs w:val="16"/>
        </w:rPr>
      </w:pPr>
      <w:r w:rsidRPr="000744BC">
        <w:rPr>
          <w:rFonts w:ascii="Arial" w:hAnsi="Arial" w:cs="Arial"/>
          <w:bCs/>
          <w:sz w:val="16"/>
          <w:szCs w:val="16"/>
        </w:rPr>
        <w:t>Ces fonds représentent 36% des actifs gérés par la société de gestion, sur un total de 352 179 269 €</w:t>
      </w:r>
    </w:p>
    <w:p w14:paraId="71951A20" w14:textId="1E60EBEE" w:rsidR="000744BC" w:rsidRDefault="000744BC" w:rsidP="000744BC">
      <w:pPr>
        <w:jc w:val="both"/>
        <w:rPr>
          <w:rFonts w:ascii="Arial" w:hAnsi="Arial" w:cs="Arial"/>
          <w:bCs/>
          <w:sz w:val="16"/>
          <w:szCs w:val="16"/>
        </w:rPr>
      </w:pPr>
      <w:r w:rsidRPr="000744BC">
        <w:rPr>
          <w:rFonts w:ascii="Arial" w:hAnsi="Arial" w:cs="Arial"/>
          <w:bCs/>
          <w:sz w:val="16"/>
          <w:szCs w:val="16"/>
        </w:rPr>
        <w:t xml:space="preserve">Il est à noter, </w:t>
      </w:r>
      <w:r>
        <w:rPr>
          <w:rFonts w:ascii="Arial" w:hAnsi="Arial" w:cs="Arial"/>
          <w:bCs/>
          <w:sz w:val="16"/>
          <w:szCs w:val="16"/>
        </w:rPr>
        <w:t>qu</w:t>
      </w:r>
      <w:r w:rsidRPr="000744BC">
        <w:rPr>
          <w:rFonts w:ascii="Arial" w:hAnsi="Arial" w:cs="Arial"/>
          <w:bCs/>
          <w:sz w:val="16"/>
          <w:szCs w:val="16"/>
        </w:rPr>
        <w:t>’IRDI CAPITAL INVESTISSEMENT cherche à déployer u</w:t>
      </w:r>
      <w:r>
        <w:rPr>
          <w:rFonts w:ascii="Arial" w:hAnsi="Arial" w:cs="Arial"/>
          <w:bCs/>
          <w:sz w:val="16"/>
          <w:szCs w:val="16"/>
        </w:rPr>
        <w:t>n</w:t>
      </w:r>
      <w:r w:rsidRPr="000744BC">
        <w:rPr>
          <w:rFonts w:ascii="Arial" w:hAnsi="Arial" w:cs="Arial"/>
          <w:bCs/>
          <w:sz w:val="16"/>
          <w:szCs w:val="16"/>
        </w:rPr>
        <w:t>e</w:t>
      </w:r>
      <w:r>
        <w:rPr>
          <w:rFonts w:ascii="Arial" w:hAnsi="Arial" w:cs="Arial"/>
          <w:bCs/>
          <w:sz w:val="16"/>
          <w:szCs w:val="16"/>
        </w:rPr>
        <w:t xml:space="preserve"> approche ESG globale sur l’ensemble de ses participations en portefeuille, mais que certains de ces véhicules, notamment véhicules historiques ou en désinvestissement sont classifiés à ce jour article 6. A ce titre, IRDI CAPITAL INVESTISSEMENT a une approche qui prend en compte les principales incidences négatives au niveau produit sur ses FPCI, mais ne les prend pas en compte au niveau global (entité). </w:t>
      </w:r>
    </w:p>
    <w:p w14:paraId="35D41157" w14:textId="709D89FE" w:rsidR="0018249B" w:rsidRPr="00DE5E01" w:rsidRDefault="003309AC" w:rsidP="00D274E3">
      <w:pPr>
        <w:jc w:val="both"/>
        <w:rPr>
          <w:rFonts w:ascii="Arial" w:hAnsi="Arial" w:cs="Arial"/>
          <w:b/>
          <w:color w:val="00B050"/>
          <w:sz w:val="16"/>
          <w:szCs w:val="16"/>
        </w:rPr>
      </w:pPr>
      <w:r>
        <w:rPr>
          <w:rFonts w:ascii="Arial" w:hAnsi="Arial" w:cs="Arial"/>
          <w:bCs/>
          <w:sz w:val="16"/>
          <w:szCs w:val="16"/>
        </w:rPr>
        <w:t>Les nouveaux fonds en cours de levée (AELIS INNOVATION 2 et IRDINOV 3) sont également des produits financiers article 8, et bénéficient du Label RELANCE</w:t>
      </w:r>
      <w:r w:rsidR="006E3487">
        <w:rPr>
          <w:rFonts w:ascii="Arial" w:hAnsi="Arial" w:cs="Arial"/>
          <w:bCs/>
          <w:sz w:val="16"/>
          <w:szCs w:val="16"/>
        </w:rPr>
        <w:t>.</w:t>
      </w:r>
    </w:p>
    <w:sectPr w:rsidR="0018249B" w:rsidRPr="00DE5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BC5F7E"/>
    <w:multiLevelType w:val="hybridMultilevel"/>
    <w:tmpl w:val="022A5396"/>
    <w:lvl w:ilvl="0" w:tplc="2A6CE0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9F51AA3"/>
    <w:multiLevelType w:val="multilevel"/>
    <w:tmpl w:val="68760598"/>
    <w:lvl w:ilvl="0">
      <w:start w:val="1"/>
      <w:numFmt w:val="decimal"/>
      <w:lvlText w:val="%1."/>
      <w:lvlJc w:val="left"/>
      <w:pPr>
        <w:ind w:left="360" w:hanging="360"/>
      </w:pPr>
      <w:rPr>
        <w:rFonts w:hint="default"/>
        <w:b w:val="0"/>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2C3439"/>
    <w:multiLevelType w:val="hybridMultilevel"/>
    <w:tmpl w:val="66D8EE6E"/>
    <w:lvl w:ilvl="0" w:tplc="2A6CE0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45716D"/>
    <w:multiLevelType w:val="hybridMultilevel"/>
    <w:tmpl w:val="4D261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AE0662"/>
    <w:multiLevelType w:val="hybridMultilevel"/>
    <w:tmpl w:val="C82E0F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06B21"/>
    <w:multiLevelType w:val="hybridMultilevel"/>
    <w:tmpl w:val="677EA876"/>
    <w:lvl w:ilvl="0" w:tplc="583A2DCC">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77500543">
    <w:abstractNumId w:val="4"/>
  </w:num>
  <w:num w:numId="2" w16cid:durableId="445738639">
    <w:abstractNumId w:val="0"/>
  </w:num>
  <w:num w:numId="3" w16cid:durableId="1737704566">
    <w:abstractNumId w:val="2"/>
  </w:num>
  <w:num w:numId="4" w16cid:durableId="453057755">
    <w:abstractNumId w:val="5"/>
  </w:num>
  <w:num w:numId="5" w16cid:durableId="1591355511">
    <w:abstractNumId w:val="1"/>
  </w:num>
  <w:num w:numId="6" w16cid:durableId="1203203701">
    <w:abstractNumId w:val="3"/>
  </w:num>
  <w:num w:numId="7" w16cid:durableId="2071538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7D"/>
    <w:rsid w:val="00027875"/>
    <w:rsid w:val="000744BC"/>
    <w:rsid w:val="000938D8"/>
    <w:rsid w:val="000965E5"/>
    <w:rsid w:val="000E1CE9"/>
    <w:rsid w:val="0014232E"/>
    <w:rsid w:val="0018249B"/>
    <w:rsid w:val="001E5C68"/>
    <w:rsid w:val="001F0E67"/>
    <w:rsid w:val="0020459B"/>
    <w:rsid w:val="002E5650"/>
    <w:rsid w:val="00301282"/>
    <w:rsid w:val="00313B40"/>
    <w:rsid w:val="00316D98"/>
    <w:rsid w:val="003309AC"/>
    <w:rsid w:val="00350F21"/>
    <w:rsid w:val="00394F68"/>
    <w:rsid w:val="003C37AD"/>
    <w:rsid w:val="00413A24"/>
    <w:rsid w:val="00423429"/>
    <w:rsid w:val="00435D8E"/>
    <w:rsid w:val="004378B3"/>
    <w:rsid w:val="00461B2A"/>
    <w:rsid w:val="00476C9D"/>
    <w:rsid w:val="004D2BA3"/>
    <w:rsid w:val="00503747"/>
    <w:rsid w:val="00523175"/>
    <w:rsid w:val="005B2865"/>
    <w:rsid w:val="005C5403"/>
    <w:rsid w:val="005D71F8"/>
    <w:rsid w:val="006139CF"/>
    <w:rsid w:val="006156ED"/>
    <w:rsid w:val="006231F1"/>
    <w:rsid w:val="00624DF7"/>
    <w:rsid w:val="00655481"/>
    <w:rsid w:val="006838D7"/>
    <w:rsid w:val="006A7A7D"/>
    <w:rsid w:val="006B795D"/>
    <w:rsid w:val="006C7A44"/>
    <w:rsid w:val="006E3487"/>
    <w:rsid w:val="007364E5"/>
    <w:rsid w:val="00755867"/>
    <w:rsid w:val="00766524"/>
    <w:rsid w:val="00786EBA"/>
    <w:rsid w:val="007A0488"/>
    <w:rsid w:val="00814D31"/>
    <w:rsid w:val="00814DC1"/>
    <w:rsid w:val="00816C78"/>
    <w:rsid w:val="00816CD9"/>
    <w:rsid w:val="00833412"/>
    <w:rsid w:val="00876F9A"/>
    <w:rsid w:val="008C13F5"/>
    <w:rsid w:val="00962586"/>
    <w:rsid w:val="009708E0"/>
    <w:rsid w:val="00975E76"/>
    <w:rsid w:val="00981A17"/>
    <w:rsid w:val="00981F86"/>
    <w:rsid w:val="00A41624"/>
    <w:rsid w:val="00A5556C"/>
    <w:rsid w:val="00A57CB0"/>
    <w:rsid w:val="00A64208"/>
    <w:rsid w:val="00A876A9"/>
    <w:rsid w:val="00AA66D1"/>
    <w:rsid w:val="00AC1EC3"/>
    <w:rsid w:val="00AE0640"/>
    <w:rsid w:val="00B043A0"/>
    <w:rsid w:val="00B22281"/>
    <w:rsid w:val="00BC7BCD"/>
    <w:rsid w:val="00C77FE0"/>
    <w:rsid w:val="00CD76E0"/>
    <w:rsid w:val="00D11FEE"/>
    <w:rsid w:val="00D13C07"/>
    <w:rsid w:val="00D274E3"/>
    <w:rsid w:val="00D31676"/>
    <w:rsid w:val="00D4061A"/>
    <w:rsid w:val="00DA79DF"/>
    <w:rsid w:val="00DE5A9F"/>
    <w:rsid w:val="00DE5E01"/>
    <w:rsid w:val="00DF7F1D"/>
    <w:rsid w:val="00E00490"/>
    <w:rsid w:val="00E14475"/>
    <w:rsid w:val="00E3399F"/>
    <w:rsid w:val="00E6604E"/>
    <w:rsid w:val="00E771CE"/>
    <w:rsid w:val="00EA7134"/>
    <w:rsid w:val="00EF3A48"/>
    <w:rsid w:val="00F02963"/>
    <w:rsid w:val="00F211F5"/>
    <w:rsid w:val="00F21720"/>
    <w:rsid w:val="00FA30D2"/>
    <w:rsid w:val="00FA69FD"/>
    <w:rsid w:val="00FC574D"/>
    <w:rsid w:val="00FD4C95"/>
    <w:rsid w:val="00FE3F7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79B2"/>
  <w15:chartTrackingRefBased/>
  <w15:docId w15:val="{AAEB8A1C-2F50-4E25-82DE-71036F19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50"/>
    <w:pPr>
      <w:ind w:left="720"/>
      <w:contextualSpacing/>
    </w:pPr>
  </w:style>
  <w:style w:type="character" w:styleId="CommentReference">
    <w:name w:val="annotation reference"/>
    <w:basedOn w:val="DefaultParagraphFont"/>
    <w:uiPriority w:val="99"/>
    <w:semiHidden/>
    <w:unhideWhenUsed/>
    <w:rsid w:val="00766524"/>
    <w:rPr>
      <w:sz w:val="16"/>
      <w:szCs w:val="16"/>
    </w:rPr>
  </w:style>
  <w:style w:type="paragraph" w:styleId="CommentText">
    <w:name w:val="annotation text"/>
    <w:basedOn w:val="Normal"/>
    <w:link w:val="CommentTextChar"/>
    <w:uiPriority w:val="99"/>
    <w:unhideWhenUsed/>
    <w:rsid w:val="00766524"/>
    <w:pPr>
      <w:spacing w:line="240" w:lineRule="auto"/>
    </w:pPr>
    <w:rPr>
      <w:sz w:val="20"/>
      <w:szCs w:val="20"/>
    </w:rPr>
  </w:style>
  <w:style w:type="character" w:customStyle="1" w:styleId="CommentTextChar">
    <w:name w:val="Comment Text Char"/>
    <w:basedOn w:val="DefaultParagraphFont"/>
    <w:link w:val="CommentText"/>
    <w:uiPriority w:val="99"/>
    <w:rsid w:val="00766524"/>
    <w:rPr>
      <w:sz w:val="20"/>
      <w:szCs w:val="20"/>
    </w:rPr>
  </w:style>
  <w:style w:type="paragraph" w:styleId="CommentSubject">
    <w:name w:val="annotation subject"/>
    <w:basedOn w:val="CommentText"/>
    <w:next w:val="CommentText"/>
    <w:link w:val="CommentSubjectChar"/>
    <w:uiPriority w:val="99"/>
    <w:semiHidden/>
    <w:unhideWhenUsed/>
    <w:rsid w:val="00766524"/>
    <w:rPr>
      <w:b/>
      <w:bCs/>
    </w:rPr>
  </w:style>
  <w:style w:type="character" w:customStyle="1" w:styleId="CommentSubjectChar">
    <w:name w:val="Comment Subject Char"/>
    <w:basedOn w:val="CommentTextChar"/>
    <w:link w:val="CommentSubject"/>
    <w:uiPriority w:val="99"/>
    <w:semiHidden/>
    <w:rsid w:val="00766524"/>
    <w:rPr>
      <w:b/>
      <w:bCs/>
      <w:sz w:val="20"/>
      <w:szCs w:val="20"/>
    </w:rPr>
  </w:style>
  <w:style w:type="paragraph" w:styleId="BalloonText">
    <w:name w:val="Balloon Text"/>
    <w:basedOn w:val="Normal"/>
    <w:link w:val="BalloonTextChar"/>
    <w:uiPriority w:val="99"/>
    <w:semiHidden/>
    <w:unhideWhenUsed/>
    <w:rsid w:val="0076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24"/>
    <w:rPr>
      <w:rFonts w:ascii="Segoe UI" w:hAnsi="Segoe UI" w:cs="Segoe UI"/>
      <w:sz w:val="18"/>
      <w:szCs w:val="18"/>
    </w:rPr>
  </w:style>
  <w:style w:type="paragraph" w:customStyle="1" w:styleId="Default">
    <w:name w:val="Default"/>
    <w:rsid w:val="007A0488"/>
    <w:pPr>
      <w:autoSpaceDE w:val="0"/>
      <w:autoSpaceDN w:val="0"/>
      <w:adjustRightInd w:val="0"/>
      <w:spacing w:after="0" w:line="240" w:lineRule="auto"/>
    </w:pPr>
    <w:rPr>
      <w:rFonts w:ascii="EUAlbertina" w:hAnsi="EUAlbertina" w:cs="EUAlbertina"/>
      <w:color w:val="000000"/>
      <w:sz w:val="24"/>
      <w:szCs w:val="24"/>
      <w:lang w:val="en-US"/>
    </w:rPr>
  </w:style>
  <w:style w:type="paragraph" w:styleId="Revision">
    <w:name w:val="Revision"/>
    <w:hidden/>
    <w:uiPriority w:val="99"/>
    <w:semiHidden/>
    <w:rsid w:val="007A0488"/>
    <w:pPr>
      <w:spacing w:after="0" w:line="240" w:lineRule="auto"/>
    </w:pPr>
  </w:style>
  <w:style w:type="character" w:styleId="Hyperlink">
    <w:name w:val="Hyperlink"/>
    <w:basedOn w:val="DefaultParagraphFont"/>
    <w:uiPriority w:val="99"/>
    <w:unhideWhenUsed/>
    <w:rsid w:val="00DE5E01"/>
    <w:rPr>
      <w:color w:val="0563C1" w:themeColor="hyperlink"/>
      <w:u w:val="single"/>
    </w:rPr>
  </w:style>
  <w:style w:type="character" w:styleId="UnresolvedMention">
    <w:name w:val="Unresolved Mention"/>
    <w:basedOn w:val="DefaultParagraphFont"/>
    <w:uiPriority w:val="99"/>
    <w:semiHidden/>
    <w:unhideWhenUsed/>
    <w:rsid w:val="00DE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9008">
      <w:bodyDiv w:val="1"/>
      <w:marLeft w:val="0"/>
      <w:marRight w:val="0"/>
      <w:marTop w:val="0"/>
      <w:marBottom w:val="0"/>
      <w:divBdr>
        <w:top w:val="none" w:sz="0" w:space="0" w:color="auto"/>
        <w:left w:val="none" w:sz="0" w:space="0" w:color="auto"/>
        <w:bottom w:val="none" w:sz="0" w:space="0" w:color="auto"/>
        <w:right w:val="none" w:sz="0" w:space="0" w:color="auto"/>
      </w:divBdr>
    </w:div>
    <w:div w:id="20539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di.fr/nous-connaitre/notre-engagement-responsab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AFF57B16E448BAC5E1164385BEC8" ma:contentTypeVersion="0" ma:contentTypeDescription="Crée un document." ma:contentTypeScope="" ma:versionID="fecb406150e72bb157feb7f44fc02f30">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27462-4913-4929-ADA1-2FE155AB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D4EF15-AAE7-4F62-A535-D6A6764BE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8C82D-AF55-40BD-9EC9-48E42E497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9130</Characters>
  <Application>Microsoft Office Word</Application>
  <DocSecurity>4</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Banque de France</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TORCAT Jean (SGACPR DCA2)</dc:creator>
  <cp:keywords/>
  <dc:description/>
  <cp:lastModifiedBy>Marion PEREZ</cp:lastModifiedBy>
  <cp:revision>2</cp:revision>
  <dcterms:created xsi:type="dcterms:W3CDTF">2023-06-28T15:30:00Z</dcterms:created>
  <dcterms:modified xsi:type="dcterms:W3CDTF">2023-06-28T15:30:00Z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0x0101003DC1AFF57B16E448BAC5E1164385BEC8</vt:lpwstr>
  </property>
</Properties>
</file>