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8D0F" w14:textId="72D59053" w:rsidR="00CA1802" w:rsidRPr="00C54A15" w:rsidRDefault="00A52D96" w:rsidP="0055573C">
      <w:pPr>
        <w:pStyle w:val="BodyText"/>
        <w:jc w:val="both"/>
        <w:rPr>
          <w:rFonts w:eastAsia="Palatino Linotype" w:cs="Arial"/>
          <w:noProof w:val="0"/>
          <w:lang w:val="en-GB"/>
        </w:rPr>
      </w:pPr>
      <w:r w:rsidRPr="00C54A15">
        <w:rPr>
          <w:rFonts w:cs="Arial"/>
          <w:lang w:val="en-GB"/>
        </w:rPr>
        <w:drawing>
          <wp:anchor distT="0" distB="0" distL="114300" distR="114300" simplePos="0" relativeHeight="251658240" behindDoc="0" locked="0" layoutInCell="1" allowOverlap="1" wp14:anchorId="60DAE37F" wp14:editId="7A81DE51">
            <wp:simplePos x="0" y="0"/>
            <wp:positionH relativeFrom="margin">
              <wp:align>center</wp:align>
            </wp:positionH>
            <wp:positionV relativeFrom="paragraph">
              <wp:posOffset>14605</wp:posOffset>
            </wp:positionV>
            <wp:extent cx="3030545" cy="1908390"/>
            <wp:effectExtent l="0" t="0" r="0" b="0"/>
            <wp:wrapNone/>
            <wp:docPr id="3" name="Picture 3" descr="Contact us — Jolt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act us — Jolt Ca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545" cy="190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F057F" w14:textId="45D761F3" w:rsidR="00CA1802" w:rsidRPr="00C54A15" w:rsidRDefault="00CA1802" w:rsidP="0055573C">
      <w:pPr>
        <w:pStyle w:val="BodyText"/>
        <w:jc w:val="both"/>
        <w:rPr>
          <w:rFonts w:eastAsia="Palatino Linotype" w:cs="Arial"/>
          <w:noProof w:val="0"/>
          <w:lang w:val="en-GB"/>
        </w:rPr>
      </w:pPr>
    </w:p>
    <w:p w14:paraId="5F954B86" w14:textId="77777777" w:rsidR="00CA1802" w:rsidRPr="00C54A15" w:rsidRDefault="00CA1802" w:rsidP="0055573C">
      <w:pPr>
        <w:pStyle w:val="BodyText"/>
        <w:jc w:val="both"/>
        <w:rPr>
          <w:rFonts w:eastAsia="Palatino Linotype" w:cs="Arial"/>
          <w:noProof w:val="0"/>
          <w:lang w:val="en-GB"/>
        </w:rPr>
      </w:pPr>
    </w:p>
    <w:p w14:paraId="1515E111" w14:textId="77777777" w:rsidR="00CA1802" w:rsidRPr="00C54A15" w:rsidRDefault="00CA1802" w:rsidP="0055573C">
      <w:pPr>
        <w:pStyle w:val="BodyText"/>
        <w:jc w:val="both"/>
        <w:rPr>
          <w:rFonts w:eastAsia="Palatino Linotype" w:cs="Arial"/>
          <w:noProof w:val="0"/>
          <w:lang w:val="en-GB"/>
        </w:rPr>
      </w:pPr>
    </w:p>
    <w:p w14:paraId="7AA52E11" w14:textId="1FF9E1C2" w:rsidR="00CA1802" w:rsidRPr="00C54A15" w:rsidRDefault="00CA1802" w:rsidP="0055573C">
      <w:pPr>
        <w:pStyle w:val="BodyText"/>
        <w:jc w:val="both"/>
        <w:rPr>
          <w:rFonts w:eastAsia="Palatino Linotype" w:cs="Arial"/>
          <w:noProof w:val="0"/>
          <w:lang w:val="en-GB"/>
        </w:rPr>
      </w:pPr>
    </w:p>
    <w:p w14:paraId="50569097" w14:textId="23F5C4C7" w:rsidR="006E47E2" w:rsidRPr="00C54A15" w:rsidRDefault="006E47E2" w:rsidP="0055573C">
      <w:pPr>
        <w:pStyle w:val="BodyText"/>
        <w:jc w:val="both"/>
        <w:rPr>
          <w:rFonts w:eastAsia="Palatino Linotype" w:cs="Arial"/>
          <w:noProof w:val="0"/>
          <w:lang w:val="en-GB"/>
        </w:rPr>
      </w:pPr>
    </w:p>
    <w:p w14:paraId="268ACA8E" w14:textId="35896F45" w:rsidR="006E47E2" w:rsidRPr="00C54A15" w:rsidRDefault="006E47E2" w:rsidP="0055573C">
      <w:pPr>
        <w:pStyle w:val="BodyText"/>
        <w:jc w:val="both"/>
        <w:rPr>
          <w:rFonts w:eastAsia="Palatino Linotype" w:cs="Arial"/>
          <w:noProof w:val="0"/>
          <w:lang w:val="en-GB"/>
        </w:rPr>
      </w:pPr>
    </w:p>
    <w:p w14:paraId="747E810E" w14:textId="3429F1DE" w:rsidR="006E47E2" w:rsidRPr="00C54A15" w:rsidRDefault="006E47E2" w:rsidP="0055573C">
      <w:pPr>
        <w:pStyle w:val="BodyText"/>
        <w:jc w:val="both"/>
        <w:rPr>
          <w:rFonts w:eastAsia="Palatino Linotype" w:cs="Arial"/>
          <w:noProof w:val="0"/>
          <w:lang w:val="en-GB"/>
        </w:rPr>
      </w:pPr>
    </w:p>
    <w:p w14:paraId="4830AE2F" w14:textId="0E97276E" w:rsidR="006E47E2" w:rsidRPr="00C54A15" w:rsidRDefault="006E47E2" w:rsidP="0055573C">
      <w:pPr>
        <w:pStyle w:val="BodyText"/>
        <w:jc w:val="both"/>
        <w:rPr>
          <w:rFonts w:eastAsia="Palatino Linotype" w:cs="Arial"/>
          <w:noProof w:val="0"/>
          <w:lang w:val="en-GB"/>
        </w:rPr>
      </w:pPr>
    </w:p>
    <w:p w14:paraId="57D05F15" w14:textId="6FDC8457" w:rsidR="006E47E2" w:rsidRPr="00C54A15" w:rsidRDefault="006E47E2" w:rsidP="0055573C">
      <w:pPr>
        <w:pStyle w:val="BodyText"/>
        <w:jc w:val="both"/>
        <w:rPr>
          <w:rFonts w:eastAsia="Palatino Linotype" w:cs="Arial"/>
          <w:noProof w:val="0"/>
          <w:lang w:val="en-GB"/>
        </w:rPr>
      </w:pPr>
    </w:p>
    <w:p w14:paraId="79CDE407" w14:textId="6AB1EC6F" w:rsidR="006E47E2" w:rsidRPr="00C54A15" w:rsidRDefault="006E47E2" w:rsidP="0055573C">
      <w:pPr>
        <w:pStyle w:val="BodyText"/>
        <w:jc w:val="both"/>
        <w:rPr>
          <w:rFonts w:eastAsia="Palatino Linotype" w:cs="Arial"/>
          <w:noProof w:val="0"/>
          <w:lang w:val="en-GB"/>
        </w:rPr>
      </w:pPr>
    </w:p>
    <w:p w14:paraId="1DD87275" w14:textId="13ABC3CE" w:rsidR="006E47E2" w:rsidRPr="00C54A15" w:rsidRDefault="006E47E2" w:rsidP="0055573C">
      <w:pPr>
        <w:pStyle w:val="BodyText"/>
        <w:jc w:val="both"/>
        <w:rPr>
          <w:rFonts w:eastAsia="Palatino Linotype" w:cs="Arial"/>
          <w:noProof w:val="0"/>
          <w:lang w:val="en-GB"/>
        </w:rPr>
      </w:pPr>
    </w:p>
    <w:p w14:paraId="3F836C62" w14:textId="2FE1CE6F" w:rsidR="006E47E2" w:rsidRPr="00C54A15" w:rsidRDefault="006E47E2" w:rsidP="0055573C">
      <w:pPr>
        <w:pStyle w:val="BodyText"/>
        <w:jc w:val="both"/>
        <w:rPr>
          <w:rFonts w:eastAsia="Palatino Linotype" w:cs="Arial"/>
          <w:noProof w:val="0"/>
          <w:lang w:val="en-GB"/>
        </w:rPr>
      </w:pPr>
    </w:p>
    <w:p w14:paraId="04B94235" w14:textId="77777777" w:rsidR="006E47E2" w:rsidRPr="00C54A15" w:rsidRDefault="006E47E2" w:rsidP="0055573C">
      <w:pPr>
        <w:pStyle w:val="BodyText"/>
        <w:jc w:val="both"/>
        <w:rPr>
          <w:rFonts w:eastAsia="Palatino Linotype" w:cs="Arial"/>
          <w:noProof w:val="0"/>
          <w:lang w:val="en-GB"/>
        </w:rPr>
      </w:pPr>
    </w:p>
    <w:p w14:paraId="5531ABCB" w14:textId="1B6EC8B8" w:rsidR="00A63245" w:rsidRPr="00C54A15" w:rsidRDefault="00A63245" w:rsidP="0055573C">
      <w:pPr>
        <w:pStyle w:val="BodyText"/>
        <w:jc w:val="both"/>
        <w:rPr>
          <w:rFonts w:eastAsia="Palatino Linotype" w:cs="Arial"/>
          <w:noProof w:val="0"/>
          <w:lang w:val="en-GB"/>
        </w:rPr>
      </w:pPr>
    </w:p>
    <w:p w14:paraId="0416F0DF" w14:textId="7F234D0F" w:rsidR="00C501F5" w:rsidRPr="00C54A15" w:rsidRDefault="00C501F5" w:rsidP="0055573C">
      <w:pPr>
        <w:pStyle w:val="BodyText"/>
        <w:jc w:val="both"/>
        <w:rPr>
          <w:rFonts w:eastAsia="Palatino Linotype" w:cs="Arial"/>
          <w:noProof w:val="0"/>
          <w:lang w:val="en-GB"/>
        </w:rPr>
      </w:pPr>
    </w:p>
    <w:p w14:paraId="358F5810" w14:textId="77777777" w:rsidR="00C501F5" w:rsidRPr="00C54A15" w:rsidRDefault="00C501F5" w:rsidP="0055573C">
      <w:pPr>
        <w:pStyle w:val="BodyText"/>
        <w:jc w:val="both"/>
        <w:rPr>
          <w:rFonts w:eastAsia="Palatino Linotype" w:cs="Arial"/>
          <w:noProof w:val="0"/>
          <w:lang w:val="en-GB"/>
        </w:rPr>
      </w:pPr>
    </w:p>
    <w:p w14:paraId="06FD12CF" w14:textId="1A921CB9" w:rsidR="00EF6487" w:rsidRPr="00C54A15" w:rsidRDefault="00EF6487" w:rsidP="00636E2F">
      <w:pPr>
        <w:pStyle w:val="Heading2"/>
        <w:numPr>
          <w:ilvl w:val="0"/>
          <w:numId w:val="0"/>
        </w:numPr>
        <w:jc w:val="both"/>
        <w:rPr>
          <w:rFonts w:cs="Arial"/>
          <w:noProof w:val="0"/>
          <w:sz w:val="60"/>
          <w:szCs w:val="60"/>
        </w:rPr>
      </w:pPr>
      <w:r w:rsidRPr="00C54A15">
        <w:rPr>
          <w:rFonts w:cs="Arial"/>
          <w:noProof w:val="0"/>
          <w:sz w:val="60"/>
          <w:szCs w:val="60"/>
        </w:rPr>
        <w:t>Article 29 of the French Energy and Climate Law</w:t>
      </w:r>
    </w:p>
    <w:p w14:paraId="0A5D5FE9" w14:textId="77777777" w:rsidR="00A63245" w:rsidRPr="00C54A15" w:rsidRDefault="00A63245" w:rsidP="00636E2F">
      <w:pPr>
        <w:pStyle w:val="Heading2"/>
        <w:numPr>
          <w:ilvl w:val="0"/>
          <w:numId w:val="0"/>
        </w:numPr>
        <w:ind w:left="720"/>
        <w:jc w:val="both"/>
        <w:rPr>
          <w:rFonts w:cs="Arial"/>
          <w:noProof w:val="0"/>
          <w:sz w:val="60"/>
          <w:szCs w:val="60"/>
        </w:rPr>
      </w:pPr>
    </w:p>
    <w:p w14:paraId="577AE125" w14:textId="6D430C66" w:rsidR="00EF6487" w:rsidRPr="00C54A15" w:rsidRDefault="00CA1802" w:rsidP="00636E2F">
      <w:pPr>
        <w:pStyle w:val="Heading2"/>
        <w:numPr>
          <w:ilvl w:val="0"/>
          <w:numId w:val="0"/>
        </w:numPr>
        <w:jc w:val="both"/>
        <w:rPr>
          <w:rFonts w:cs="Arial"/>
          <w:i/>
          <w:iCs/>
          <w:noProof w:val="0"/>
          <w:sz w:val="60"/>
          <w:szCs w:val="60"/>
        </w:rPr>
      </w:pPr>
      <w:r w:rsidRPr="00C54A15">
        <w:rPr>
          <w:rFonts w:cs="Arial"/>
          <w:i/>
          <w:iCs/>
          <w:noProof w:val="0"/>
          <w:sz w:val="60"/>
          <w:szCs w:val="60"/>
        </w:rPr>
        <w:t>2022 Annual report</w:t>
      </w:r>
    </w:p>
    <w:p w14:paraId="599F4E6F" w14:textId="77777777" w:rsidR="00A63245" w:rsidRPr="00C54A15" w:rsidRDefault="00A63245" w:rsidP="00636E2F">
      <w:pPr>
        <w:pStyle w:val="Heading2"/>
        <w:numPr>
          <w:ilvl w:val="0"/>
          <w:numId w:val="0"/>
        </w:numPr>
        <w:ind w:left="720"/>
        <w:jc w:val="both"/>
        <w:rPr>
          <w:rFonts w:cs="Arial"/>
          <w:noProof w:val="0"/>
          <w:sz w:val="60"/>
          <w:szCs w:val="60"/>
        </w:rPr>
      </w:pPr>
    </w:p>
    <w:p w14:paraId="44947819" w14:textId="77777777" w:rsidR="00624C9E" w:rsidRPr="00C54A15" w:rsidRDefault="00624C9E" w:rsidP="0055573C">
      <w:pPr>
        <w:pStyle w:val="Heading5"/>
        <w:jc w:val="both"/>
        <w:rPr>
          <w:rFonts w:ascii="Arial" w:hAnsi="Arial" w:cs="Arial"/>
          <w:noProof w:val="0"/>
          <w:lang w:val="en-GB"/>
        </w:rPr>
      </w:pPr>
    </w:p>
    <w:p w14:paraId="0F951FCB" w14:textId="77777777" w:rsidR="000D5FAE" w:rsidRPr="00C54A15" w:rsidRDefault="000D5FAE" w:rsidP="00C501F5">
      <w:pPr>
        <w:pStyle w:val="Heading4"/>
        <w:jc w:val="both"/>
        <w:rPr>
          <w:rFonts w:cs="Arial"/>
          <w:noProof w:val="0"/>
          <w:color w:val="auto"/>
        </w:rPr>
      </w:pPr>
    </w:p>
    <w:p w14:paraId="53E7C6AC" w14:textId="77777777" w:rsidR="000D5FAE" w:rsidRPr="00C54A15" w:rsidRDefault="000D5FAE" w:rsidP="00C501F5">
      <w:pPr>
        <w:pStyle w:val="Heading4"/>
        <w:jc w:val="both"/>
        <w:rPr>
          <w:rFonts w:cs="Arial"/>
          <w:noProof w:val="0"/>
          <w:color w:val="auto"/>
        </w:rPr>
      </w:pPr>
    </w:p>
    <w:p w14:paraId="6F0C352A" w14:textId="77777777" w:rsidR="000D5FAE" w:rsidRPr="00C54A15" w:rsidRDefault="000D5FAE" w:rsidP="00C501F5">
      <w:pPr>
        <w:pStyle w:val="Heading4"/>
        <w:jc w:val="both"/>
        <w:rPr>
          <w:rFonts w:cs="Arial"/>
          <w:noProof w:val="0"/>
          <w:color w:val="auto"/>
        </w:rPr>
      </w:pPr>
    </w:p>
    <w:p w14:paraId="08649162" w14:textId="77777777" w:rsidR="000D5FAE" w:rsidRPr="00C54A15" w:rsidRDefault="000D5FAE" w:rsidP="00C501F5">
      <w:pPr>
        <w:pStyle w:val="Heading4"/>
        <w:jc w:val="both"/>
        <w:rPr>
          <w:rFonts w:cs="Arial"/>
          <w:noProof w:val="0"/>
          <w:color w:val="auto"/>
        </w:rPr>
      </w:pPr>
    </w:p>
    <w:p w14:paraId="09B4C112" w14:textId="77777777" w:rsidR="000D5FAE" w:rsidRPr="00C54A15" w:rsidRDefault="000D5FAE" w:rsidP="00C501F5">
      <w:pPr>
        <w:pStyle w:val="Heading4"/>
        <w:jc w:val="both"/>
        <w:rPr>
          <w:rFonts w:cs="Arial"/>
          <w:noProof w:val="0"/>
          <w:color w:val="auto"/>
        </w:rPr>
      </w:pPr>
    </w:p>
    <w:p w14:paraId="7D025E53" w14:textId="64D1A1FE" w:rsidR="00D279CB" w:rsidRPr="00C54A15" w:rsidRDefault="00624C9E" w:rsidP="00C501F5">
      <w:pPr>
        <w:pStyle w:val="Heading4"/>
        <w:jc w:val="both"/>
        <w:rPr>
          <w:rFonts w:cs="Arial"/>
          <w:noProof w:val="0"/>
          <w:color w:val="auto"/>
        </w:rPr>
      </w:pPr>
      <w:r w:rsidRPr="00C54A15">
        <w:rPr>
          <w:rFonts w:cs="Arial"/>
          <w:noProof w:val="0"/>
          <w:color w:val="auto"/>
        </w:rPr>
        <w:t xml:space="preserve">This report follows the requirements of Article 29 of law n°2019-1147 of 8 November 2019 and its application decree n°2021-996 published on 27 May 2021. It is based on the </w:t>
      </w:r>
      <w:r w:rsidR="00C54A15" w:rsidRPr="00C54A15">
        <w:rPr>
          <w:rFonts w:cs="Arial"/>
          <w:noProof w:val="0"/>
          <w:color w:val="auto"/>
        </w:rPr>
        <w:t>structure</w:t>
      </w:r>
      <w:r w:rsidRPr="00C54A15">
        <w:rPr>
          <w:rFonts w:cs="Arial"/>
          <w:noProof w:val="0"/>
          <w:color w:val="auto"/>
        </w:rPr>
        <w:t xml:space="preserve"> described in Annex B of Instruction</w:t>
      </w:r>
      <w:r w:rsidR="00785A0F" w:rsidRPr="00C54A15">
        <w:rPr>
          <w:rFonts w:cs="Arial"/>
          <w:noProof w:val="0"/>
          <w:color w:val="auto"/>
        </w:rPr>
        <w:t>s</w:t>
      </w:r>
      <w:r w:rsidRPr="00C54A15">
        <w:rPr>
          <w:rFonts w:cs="Arial"/>
          <w:noProof w:val="0"/>
          <w:color w:val="auto"/>
        </w:rPr>
        <w:t xml:space="preserve"> </w:t>
      </w:r>
      <w:r w:rsidR="00785A0F" w:rsidRPr="00C54A15">
        <w:rPr>
          <w:rFonts w:cs="Arial"/>
          <w:noProof w:val="0"/>
          <w:color w:val="auto"/>
        </w:rPr>
        <w:t>DOC-2008</w:t>
      </w:r>
      <w:r w:rsidR="00363B92" w:rsidRPr="00C54A15">
        <w:rPr>
          <w:rFonts w:cs="Arial"/>
          <w:noProof w:val="0"/>
          <w:color w:val="auto"/>
        </w:rPr>
        <w:t>-03 and DOC-2014-01</w:t>
      </w:r>
      <w:r w:rsidRPr="00C54A15">
        <w:rPr>
          <w:rFonts w:cs="Arial"/>
          <w:noProof w:val="0"/>
          <w:color w:val="auto"/>
        </w:rPr>
        <w:t xml:space="preserve"> of the AMF.</w:t>
      </w:r>
    </w:p>
    <w:p w14:paraId="6FAB71F0" w14:textId="42F2DC82" w:rsidR="004E3752" w:rsidRPr="00C54A15" w:rsidRDefault="00323F3F" w:rsidP="0055573C">
      <w:pPr>
        <w:jc w:val="both"/>
        <w:rPr>
          <w:rFonts w:cs="Arial"/>
          <w:noProof w:val="0"/>
        </w:rPr>
      </w:pPr>
      <w:r w:rsidRPr="00C54A15">
        <w:rPr>
          <w:rFonts w:cs="Arial"/>
          <w:noProof w:val="0"/>
        </w:rPr>
        <w:lastRenderedPageBreak/>
        <w:t>Jolt</w:t>
      </w:r>
      <w:r w:rsidR="00A52D96" w:rsidRPr="00C54A15">
        <w:rPr>
          <w:rFonts w:cs="Arial"/>
          <w:noProof w:val="0"/>
        </w:rPr>
        <w:t xml:space="preserve"> Capital</w:t>
      </w:r>
      <w:r w:rsidRPr="00C54A15">
        <w:rPr>
          <w:rFonts w:cs="Arial"/>
          <w:noProof w:val="0"/>
        </w:rPr>
        <w:t xml:space="preserve"> SAS is</w:t>
      </w:r>
      <w:r w:rsidR="001A2D7D" w:rsidRPr="00C54A15">
        <w:rPr>
          <w:rFonts w:cs="Arial"/>
          <w:noProof w:val="0"/>
        </w:rPr>
        <w:t xml:space="preserve"> a</w:t>
      </w:r>
      <w:r w:rsidRPr="00C54A15">
        <w:rPr>
          <w:rFonts w:cs="Arial"/>
          <w:noProof w:val="0"/>
        </w:rPr>
        <w:t xml:space="preserve"> fully independent private equity firm specializing in Growth Capital Technology Investing.</w:t>
      </w:r>
    </w:p>
    <w:p w14:paraId="151AE83B" w14:textId="44C62EA3" w:rsidR="00233053" w:rsidRPr="00C54A15" w:rsidRDefault="00323F3F" w:rsidP="0055573C">
      <w:pPr>
        <w:jc w:val="both"/>
        <w:rPr>
          <w:rFonts w:cs="Arial"/>
          <w:noProof w:val="0"/>
        </w:rPr>
      </w:pPr>
      <w:r w:rsidRPr="00C54A15">
        <w:rPr>
          <w:rFonts w:cs="Arial"/>
          <w:noProof w:val="0"/>
        </w:rPr>
        <w:t xml:space="preserve">With </w:t>
      </w:r>
      <w:r w:rsidR="00121489" w:rsidRPr="00C54A15">
        <w:rPr>
          <w:rFonts w:cs="Arial"/>
          <w:noProof w:val="0"/>
        </w:rPr>
        <w:t xml:space="preserve">above </w:t>
      </w:r>
      <w:r w:rsidRPr="00C54A15">
        <w:rPr>
          <w:rFonts w:cs="Arial"/>
          <w:noProof w:val="0"/>
        </w:rPr>
        <w:t>€</w:t>
      </w:r>
      <w:r w:rsidR="00AE09D7">
        <w:rPr>
          <w:rFonts w:cs="Arial"/>
          <w:noProof w:val="0"/>
        </w:rPr>
        <w:t>4</w:t>
      </w:r>
      <w:r w:rsidRPr="00C54A15">
        <w:rPr>
          <w:rFonts w:cs="Arial"/>
          <w:noProof w:val="0"/>
        </w:rPr>
        <w:t xml:space="preserve">00M of </w:t>
      </w:r>
      <w:r w:rsidR="00AE09D7">
        <w:rPr>
          <w:rFonts w:cs="Arial"/>
          <w:noProof w:val="0"/>
        </w:rPr>
        <w:t>assets under management</w:t>
      </w:r>
      <w:r w:rsidRPr="00C54A15">
        <w:rPr>
          <w:rFonts w:cs="Arial"/>
          <w:noProof w:val="0"/>
        </w:rPr>
        <w:t xml:space="preserve"> and strong local presence in Europe, we generate strong returns by enabling mid-sized technology-rich companies with strong fundamentals to execute their growth strategies, in sectors that offer good exit potential across software, mobility, cloud and Internet of Things (IoT).</w:t>
      </w:r>
    </w:p>
    <w:p w14:paraId="1741C552" w14:textId="1657DC7B" w:rsidR="00CA1802" w:rsidRPr="00C54A15" w:rsidRDefault="00323F3F" w:rsidP="0055573C">
      <w:pPr>
        <w:jc w:val="both"/>
        <w:rPr>
          <w:rFonts w:cs="Arial"/>
          <w:noProof w:val="0"/>
        </w:rPr>
      </w:pPr>
      <w:r w:rsidRPr="00C54A15">
        <w:rPr>
          <w:rFonts w:cs="Arial"/>
          <w:noProof w:val="0"/>
        </w:rPr>
        <w:t xml:space="preserve">In providing growth capital to our portfolio companies, we support their scaling in new markets, new </w:t>
      </w:r>
      <w:r w:rsidR="00C54A15" w:rsidRPr="00C54A15">
        <w:rPr>
          <w:rFonts w:cs="Arial"/>
          <w:noProof w:val="0"/>
        </w:rPr>
        <w:t>capacities,</w:t>
      </w:r>
      <w:r w:rsidRPr="00C54A15">
        <w:rPr>
          <w:rFonts w:cs="Arial"/>
          <w:noProof w:val="0"/>
        </w:rPr>
        <w:t xml:space="preserve"> and new acquisitions, while mitigating the risks towards solid value creation.</w:t>
      </w:r>
    </w:p>
    <w:p w14:paraId="513B9A67" w14:textId="6C810070" w:rsidR="00CA1802" w:rsidRPr="00C54A15" w:rsidRDefault="004E3752" w:rsidP="0055573C">
      <w:pPr>
        <w:jc w:val="both"/>
        <w:rPr>
          <w:rFonts w:cs="Arial"/>
          <w:noProof w:val="0"/>
        </w:rPr>
      </w:pPr>
      <w:r w:rsidRPr="00C54A15">
        <w:rPr>
          <w:rFonts w:cs="Arial"/>
          <w:noProof w:val="0"/>
        </w:rPr>
        <w:t>Our approach as a responsible investor is materialized by our commitment to the United Nations’ Principles for Responsible Investment, the largest global reporting instrument on responsible investment. Jolt Capital became a UNPRI signatory in Novemb</w:t>
      </w:r>
      <w:r w:rsidR="00C54A15" w:rsidRPr="00C54A15">
        <w:rPr>
          <w:rFonts w:cs="Arial"/>
          <w:noProof w:val="0"/>
        </w:rPr>
        <w:t>er</w:t>
      </w:r>
      <w:r w:rsidRPr="00C54A15">
        <w:rPr>
          <w:rFonts w:cs="Arial"/>
          <w:noProof w:val="0"/>
        </w:rPr>
        <w:t xml:space="preserve"> 2020.</w:t>
      </w:r>
    </w:p>
    <w:p w14:paraId="58061A73" w14:textId="77777777" w:rsidR="00233053" w:rsidRPr="00C54A15" w:rsidRDefault="00233053" w:rsidP="00233053">
      <w:pPr>
        <w:jc w:val="both"/>
        <w:rPr>
          <w:rFonts w:cs="Arial"/>
          <w:noProof w:val="0"/>
        </w:rPr>
      </w:pPr>
      <w:r w:rsidRPr="00C54A15">
        <w:rPr>
          <w:rFonts w:cs="Arial"/>
          <w:noProof w:val="0"/>
        </w:rPr>
        <w:t>Moreover, in 2020 we signed the Parity Charter of France Invest and actively monitor the alignment of our practices with the 30 commitments of the charter.</w:t>
      </w:r>
    </w:p>
    <w:p w14:paraId="7D3189B6" w14:textId="100434F5" w:rsidR="00233053" w:rsidRPr="00C54A15" w:rsidRDefault="00233053" w:rsidP="00233053">
      <w:pPr>
        <w:jc w:val="both"/>
        <w:rPr>
          <w:rFonts w:cs="Arial"/>
          <w:noProof w:val="0"/>
        </w:rPr>
      </w:pPr>
      <w:r w:rsidRPr="00C54A15">
        <w:rPr>
          <w:rFonts w:cs="Arial"/>
          <w:noProof w:val="0"/>
        </w:rPr>
        <w:t xml:space="preserve">Finally, in 2020, Jolt Capital was granted the French “Relance” label for its Jolt Capital IV fund. This label aims at directing the savings of French households towards investment vehicles sustainably investing in French </w:t>
      </w:r>
      <w:r w:rsidR="00C54A15" w:rsidRPr="00C54A15">
        <w:rPr>
          <w:rFonts w:cs="Arial"/>
          <w:noProof w:val="0"/>
        </w:rPr>
        <w:t>small</w:t>
      </w:r>
      <w:r w:rsidRPr="00C54A15">
        <w:rPr>
          <w:rFonts w:cs="Arial"/>
          <w:noProof w:val="0"/>
        </w:rPr>
        <w:t xml:space="preserve"> and medium enterprises (SMEs).</w:t>
      </w:r>
    </w:p>
    <w:p w14:paraId="3F31AF10" w14:textId="64D4B90D" w:rsidR="004E3752" w:rsidRPr="00C54A15" w:rsidRDefault="004E3752" w:rsidP="0055573C">
      <w:pPr>
        <w:jc w:val="both"/>
        <w:rPr>
          <w:rFonts w:cs="Arial"/>
          <w:noProof w:val="0"/>
        </w:rPr>
      </w:pPr>
      <w:r w:rsidRPr="00C54A15">
        <w:rPr>
          <w:rFonts w:cs="Arial"/>
          <w:noProof w:val="0"/>
        </w:rPr>
        <w:t>In France, Jolt Capital SAS’s business is regulated by the French Financial Market Authority (“Autorité des Marchés Financiers”). It is thus subject to Article 29 of the French Energy and Climate Law (“Loi Energie Climat” – “LEC”). The present report aim</w:t>
      </w:r>
      <w:r w:rsidR="001A2D7D" w:rsidRPr="00C54A15">
        <w:rPr>
          <w:rFonts w:cs="Arial"/>
          <w:noProof w:val="0"/>
        </w:rPr>
        <w:t>s</w:t>
      </w:r>
      <w:r w:rsidRPr="00C54A15">
        <w:rPr>
          <w:rFonts w:cs="Arial"/>
          <w:noProof w:val="0"/>
        </w:rPr>
        <w:t xml:space="preserve"> to address how Jolt Capital complies with the requirements of Article 29 LEC.</w:t>
      </w:r>
    </w:p>
    <w:p w14:paraId="769F436C" w14:textId="77777777" w:rsidR="00CA1802" w:rsidRPr="00C54A15" w:rsidRDefault="00CA1802" w:rsidP="0055573C">
      <w:pPr>
        <w:jc w:val="both"/>
        <w:rPr>
          <w:rFonts w:cs="Arial"/>
          <w:noProof w:val="0"/>
        </w:rPr>
      </w:pPr>
    </w:p>
    <w:p w14:paraId="56EA768D" w14:textId="77777777" w:rsidR="00CA1802" w:rsidRPr="00C54A15" w:rsidRDefault="00CA1802" w:rsidP="0055573C">
      <w:pPr>
        <w:pStyle w:val="BodyText"/>
        <w:jc w:val="both"/>
        <w:rPr>
          <w:rFonts w:cs="Arial"/>
          <w:noProof w:val="0"/>
          <w:lang w:val="en-GB"/>
        </w:rPr>
      </w:pPr>
    </w:p>
    <w:p w14:paraId="7BD2E3D9" w14:textId="77777777" w:rsidR="00CA1802" w:rsidRPr="00C54A15" w:rsidRDefault="00CA1802" w:rsidP="0055573C">
      <w:pPr>
        <w:pStyle w:val="BodyText"/>
        <w:jc w:val="both"/>
        <w:rPr>
          <w:rFonts w:cs="Arial"/>
          <w:noProof w:val="0"/>
          <w:lang w:val="en-GB"/>
        </w:rPr>
      </w:pPr>
    </w:p>
    <w:p w14:paraId="50E26188" w14:textId="647BF9DC" w:rsidR="009C245E" w:rsidRPr="00C54A15" w:rsidRDefault="009C245E" w:rsidP="0055573C">
      <w:pPr>
        <w:jc w:val="both"/>
        <w:rPr>
          <w:rFonts w:cs="Arial"/>
          <w:noProof w:val="0"/>
        </w:rPr>
      </w:pPr>
    </w:p>
    <w:p w14:paraId="032D5AD9" w14:textId="7E02D5D9" w:rsidR="00CA1802" w:rsidRPr="00C54A15" w:rsidRDefault="00CA1802" w:rsidP="0055573C">
      <w:pPr>
        <w:jc w:val="both"/>
        <w:rPr>
          <w:rFonts w:cs="Arial"/>
          <w:noProof w:val="0"/>
        </w:rPr>
      </w:pPr>
    </w:p>
    <w:p w14:paraId="4DD2EDAE" w14:textId="2FF502C1" w:rsidR="00CA1802" w:rsidRPr="00C54A15" w:rsidRDefault="00CA1802" w:rsidP="0055573C">
      <w:pPr>
        <w:jc w:val="both"/>
        <w:rPr>
          <w:rFonts w:cs="Arial"/>
          <w:noProof w:val="0"/>
        </w:rPr>
      </w:pPr>
    </w:p>
    <w:p w14:paraId="65777815" w14:textId="3346B2E5" w:rsidR="00CA1802" w:rsidRPr="00C54A15" w:rsidRDefault="00CA1802" w:rsidP="0055573C">
      <w:pPr>
        <w:jc w:val="both"/>
        <w:rPr>
          <w:rFonts w:cs="Arial"/>
          <w:noProof w:val="0"/>
        </w:rPr>
      </w:pPr>
    </w:p>
    <w:p w14:paraId="10D151B7" w14:textId="77777777" w:rsidR="007B6DB7" w:rsidRPr="00C54A15" w:rsidRDefault="007B6DB7" w:rsidP="0055573C">
      <w:pPr>
        <w:jc w:val="both"/>
        <w:rPr>
          <w:rFonts w:cs="Arial"/>
          <w:noProof w:val="0"/>
        </w:rPr>
      </w:pPr>
    </w:p>
    <w:p w14:paraId="19F47FA2" w14:textId="77777777" w:rsidR="007B6DB7" w:rsidRPr="00C54A15" w:rsidRDefault="007B6DB7" w:rsidP="0055573C">
      <w:pPr>
        <w:jc w:val="both"/>
        <w:rPr>
          <w:rFonts w:cs="Arial"/>
          <w:noProof w:val="0"/>
        </w:rPr>
      </w:pPr>
    </w:p>
    <w:p w14:paraId="1CF69C4C" w14:textId="77777777" w:rsidR="007B6DB7" w:rsidRPr="00C54A15" w:rsidRDefault="007B6DB7" w:rsidP="0055573C">
      <w:pPr>
        <w:jc w:val="both"/>
        <w:rPr>
          <w:rFonts w:cs="Arial"/>
          <w:noProof w:val="0"/>
        </w:rPr>
      </w:pPr>
    </w:p>
    <w:p w14:paraId="3954912C" w14:textId="77777777" w:rsidR="007B6DB7" w:rsidRPr="00C54A15" w:rsidRDefault="007B6DB7" w:rsidP="0055573C">
      <w:pPr>
        <w:jc w:val="both"/>
        <w:rPr>
          <w:rFonts w:cs="Arial"/>
          <w:noProof w:val="0"/>
        </w:rPr>
      </w:pPr>
    </w:p>
    <w:p w14:paraId="75F6B080" w14:textId="77777777" w:rsidR="007B6DB7" w:rsidRPr="00C54A15" w:rsidRDefault="007B6DB7" w:rsidP="0055573C">
      <w:pPr>
        <w:jc w:val="both"/>
        <w:rPr>
          <w:rFonts w:cs="Arial"/>
          <w:noProof w:val="0"/>
        </w:rPr>
      </w:pPr>
    </w:p>
    <w:p w14:paraId="4C32A6CA" w14:textId="22441624" w:rsidR="007B6DB7" w:rsidRPr="00C54A15" w:rsidRDefault="007B6DB7" w:rsidP="0055573C">
      <w:pPr>
        <w:jc w:val="both"/>
        <w:rPr>
          <w:rFonts w:cs="Arial"/>
          <w:noProof w:val="0"/>
        </w:rPr>
      </w:pPr>
    </w:p>
    <w:p w14:paraId="29123A39" w14:textId="3B5059B3" w:rsidR="00637BB7" w:rsidRPr="00C54A15" w:rsidRDefault="00637BB7" w:rsidP="0055573C">
      <w:pPr>
        <w:jc w:val="both"/>
        <w:rPr>
          <w:rFonts w:cs="Arial"/>
          <w:noProof w:val="0"/>
        </w:rPr>
      </w:pPr>
    </w:p>
    <w:p w14:paraId="148DFC53" w14:textId="2615BCE4" w:rsidR="00637BB7" w:rsidRPr="00C54A15" w:rsidRDefault="00637BB7" w:rsidP="0055573C">
      <w:pPr>
        <w:jc w:val="both"/>
        <w:rPr>
          <w:rFonts w:cs="Arial"/>
          <w:noProof w:val="0"/>
        </w:rPr>
      </w:pPr>
    </w:p>
    <w:p w14:paraId="2AFC4E45" w14:textId="77777777" w:rsidR="00637BB7" w:rsidRPr="00C54A15" w:rsidRDefault="00637BB7" w:rsidP="0055573C">
      <w:pPr>
        <w:jc w:val="both"/>
        <w:rPr>
          <w:rFonts w:cs="Arial"/>
          <w:noProof w:val="0"/>
        </w:rPr>
      </w:pPr>
    </w:p>
    <w:p w14:paraId="75FBEF3A" w14:textId="77777777" w:rsidR="007B6DB7" w:rsidRPr="00C54A15" w:rsidRDefault="007B6DB7" w:rsidP="0055573C">
      <w:pPr>
        <w:jc w:val="both"/>
        <w:rPr>
          <w:rFonts w:cs="Arial"/>
          <w:noProof w:val="0"/>
        </w:rPr>
      </w:pPr>
    </w:p>
    <w:p w14:paraId="19785188" w14:textId="77777777" w:rsidR="007B6DB7" w:rsidRPr="00C54A15" w:rsidRDefault="007B6DB7" w:rsidP="0055573C">
      <w:pPr>
        <w:jc w:val="both"/>
        <w:rPr>
          <w:rFonts w:cs="Arial"/>
          <w:noProof w:val="0"/>
        </w:rPr>
      </w:pPr>
    </w:p>
    <w:p w14:paraId="4191886F" w14:textId="2A646DCA" w:rsidR="00C501F5" w:rsidRPr="00C54A15" w:rsidRDefault="00C501F5" w:rsidP="0055573C">
      <w:pPr>
        <w:spacing w:after="160" w:line="259" w:lineRule="auto"/>
        <w:jc w:val="both"/>
        <w:rPr>
          <w:rFonts w:cs="Arial"/>
          <w:noProof w:val="0"/>
        </w:rPr>
      </w:pPr>
      <w:r w:rsidRPr="00C54A15">
        <w:rPr>
          <w:rFonts w:cs="Arial"/>
          <w:noProof w:val="0"/>
        </w:rPr>
        <w:br/>
      </w:r>
      <w:r w:rsidRPr="00C54A15">
        <w:rPr>
          <w:rFonts w:cs="Arial"/>
          <w:noProof w:val="0"/>
        </w:rPr>
        <w:br/>
      </w:r>
    </w:p>
    <w:sdt>
      <w:sdtPr>
        <w:rPr>
          <w:rFonts w:ascii="Arial" w:eastAsiaTheme="minorHAnsi" w:hAnsi="Arial" w:cs="Arial"/>
          <w:noProof w:val="0"/>
          <w:sz w:val="19"/>
          <w:szCs w:val="19"/>
          <w:lang w:val="en-GB"/>
        </w:rPr>
        <w:id w:val="79874273"/>
        <w:docPartObj>
          <w:docPartGallery w:val="Table of Contents"/>
          <w:docPartUnique/>
        </w:docPartObj>
      </w:sdtPr>
      <w:sdtEndPr>
        <w:rPr>
          <w:b/>
          <w:bCs/>
          <w:sz w:val="22"/>
        </w:rPr>
      </w:sdtEndPr>
      <w:sdtContent>
        <w:p w14:paraId="72338508" w14:textId="7406A66A" w:rsidR="007B6DB7" w:rsidRPr="00C54A15" w:rsidRDefault="00C34EAE" w:rsidP="0055573C">
          <w:pPr>
            <w:pStyle w:val="Heading5"/>
            <w:ind w:left="0"/>
            <w:jc w:val="both"/>
            <w:rPr>
              <w:rStyle w:val="Heading2Char"/>
              <w:rFonts w:cs="Arial"/>
              <w:noProof w:val="0"/>
              <w:sz w:val="32"/>
              <w:szCs w:val="32"/>
            </w:rPr>
          </w:pPr>
          <w:r w:rsidRPr="00C54A15">
            <w:rPr>
              <w:rStyle w:val="Heading2Char"/>
              <w:rFonts w:cs="Arial"/>
              <w:noProof w:val="0"/>
              <w:sz w:val="32"/>
              <w:szCs w:val="32"/>
            </w:rPr>
            <w:t>Contents</w:t>
          </w:r>
        </w:p>
        <w:p w14:paraId="3E2B37FB" w14:textId="77777777" w:rsidR="00943DBA" w:rsidRPr="00C54A15" w:rsidRDefault="00943DBA" w:rsidP="0055573C">
          <w:pPr>
            <w:pStyle w:val="Heading5"/>
            <w:jc w:val="both"/>
            <w:rPr>
              <w:rStyle w:val="Heading2Char"/>
              <w:rFonts w:cs="Arial"/>
              <w:noProof w:val="0"/>
            </w:rPr>
          </w:pPr>
        </w:p>
        <w:p w14:paraId="7517FB23" w14:textId="7DDA41AA" w:rsidR="00CF0E90" w:rsidRPr="00C54A15" w:rsidRDefault="007B6DB7" w:rsidP="0055573C">
          <w:pPr>
            <w:pStyle w:val="TOC1"/>
            <w:jc w:val="both"/>
            <w:rPr>
              <w:rFonts w:eastAsiaTheme="minorEastAsia" w:cs="Arial"/>
              <w:noProof w:val="0"/>
              <w:sz w:val="26"/>
              <w:szCs w:val="26"/>
              <w:lang w:eastAsia="fr-FR"/>
            </w:rPr>
          </w:pPr>
          <w:r w:rsidRPr="00C54A15">
            <w:rPr>
              <w:rFonts w:cs="Arial"/>
              <w:noProof w:val="0"/>
              <w:sz w:val="26"/>
              <w:szCs w:val="26"/>
            </w:rPr>
            <w:fldChar w:fldCharType="begin"/>
          </w:r>
          <w:r w:rsidRPr="00C54A15">
            <w:rPr>
              <w:rFonts w:cs="Arial"/>
              <w:noProof w:val="0"/>
              <w:sz w:val="26"/>
              <w:szCs w:val="26"/>
            </w:rPr>
            <w:instrText xml:space="preserve"> TOC \o "1-3" \h \z \u </w:instrText>
          </w:r>
          <w:r w:rsidRPr="00C54A15">
            <w:rPr>
              <w:rFonts w:cs="Arial"/>
              <w:noProof w:val="0"/>
              <w:sz w:val="26"/>
              <w:szCs w:val="26"/>
            </w:rPr>
            <w:fldChar w:fldCharType="separate"/>
          </w:r>
          <w:hyperlink w:anchor="_Toc131689940" w:history="1">
            <w:r w:rsidR="00CF0E90" w:rsidRPr="00C54A15">
              <w:rPr>
                <w:rStyle w:val="Hyperlink"/>
                <w:rFonts w:cs="Arial"/>
                <w:noProof w:val="0"/>
                <w:sz w:val="26"/>
                <w:szCs w:val="26"/>
              </w:rPr>
              <w:t>I.</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Our general approach</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_Toc131689940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4</w:t>
            </w:r>
            <w:r w:rsidR="00CF0E90" w:rsidRPr="00C54A15">
              <w:rPr>
                <w:rFonts w:cs="Arial"/>
                <w:noProof w:val="0"/>
                <w:webHidden/>
                <w:sz w:val="26"/>
                <w:szCs w:val="26"/>
              </w:rPr>
              <w:fldChar w:fldCharType="end"/>
            </w:r>
          </w:hyperlink>
        </w:p>
        <w:p w14:paraId="340A5198" w14:textId="121C0590" w:rsidR="00CF0E90" w:rsidRPr="00C54A15" w:rsidRDefault="00AE09D7" w:rsidP="0055573C">
          <w:pPr>
            <w:pStyle w:val="TOC1"/>
            <w:jc w:val="both"/>
            <w:rPr>
              <w:rFonts w:eastAsiaTheme="minorEastAsia" w:cs="Arial"/>
              <w:noProof w:val="0"/>
              <w:sz w:val="26"/>
              <w:szCs w:val="26"/>
              <w:lang w:eastAsia="fr-FR"/>
            </w:rPr>
          </w:pPr>
          <w:hyperlink w:anchor="_Toc131689941" w:history="1">
            <w:r w:rsidR="00CF0E90" w:rsidRPr="00C54A15">
              <w:rPr>
                <w:rStyle w:val="Hyperlink"/>
                <w:rFonts w:cs="Arial"/>
                <w:noProof w:val="0"/>
                <w:sz w:val="26"/>
                <w:szCs w:val="26"/>
              </w:rPr>
              <w:t>II.</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Our internal resources</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_Toc131689941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10</w:t>
            </w:r>
            <w:r w:rsidR="00CF0E90" w:rsidRPr="00C54A15">
              <w:rPr>
                <w:rFonts w:cs="Arial"/>
                <w:noProof w:val="0"/>
                <w:webHidden/>
                <w:sz w:val="26"/>
                <w:szCs w:val="26"/>
              </w:rPr>
              <w:fldChar w:fldCharType="end"/>
            </w:r>
          </w:hyperlink>
        </w:p>
        <w:p w14:paraId="0AE91302" w14:textId="10F5B372" w:rsidR="00CF0E90" w:rsidRPr="00C54A15" w:rsidRDefault="00AE09D7" w:rsidP="0055573C">
          <w:pPr>
            <w:pStyle w:val="TOC1"/>
            <w:jc w:val="both"/>
            <w:rPr>
              <w:rFonts w:eastAsiaTheme="minorEastAsia" w:cs="Arial"/>
              <w:noProof w:val="0"/>
              <w:sz w:val="26"/>
              <w:szCs w:val="26"/>
              <w:lang w:eastAsia="fr-FR"/>
            </w:rPr>
          </w:pPr>
          <w:hyperlink w:anchor="_Toc131689942" w:history="1">
            <w:r w:rsidR="00CF0E90" w:rsidRPr="00C54A15">
              <w:rPr>
                <w:rStyle w:val="Hyperlink"/>
                <w:rFonts w:cs="Arial"/>
                <w:noProof w:val="0"/>
                <w:sz w:val="26"/>
                <w:szCs w:val="26"/>
              </w:rPr>
              <w:t>III.</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ESG criteria in our governance</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_Toc131689942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11</w:t>
            </w:r>
            <w:r w:rsidR="00CF0E90" w:rsidRPr="00C54A15">
              <w:rPr>
                <w:rFonts w:cs="Arial"/>
                <w:noProof w:val="0"/>
                <w:webHidden/>
                <w:sz w:val="26"/>
                <w:szCs w:val="26"/>
              </w:rPr>
              <w:fldChar w:fldCharType="end"/>
            </w:r>
          </w:hyperlink>
        </w:p>
        <w:p w14:paraId="2A8ADE96" w14:textId="48B88BB2" w:rsidR="00CF0E90" w:rsidRPr="00C54A15" w:rsidRDefault="00AE09D7" w:rsidP="0055573C">
          <w:pPr>
            <w:pStyle w:val="TOC1"/>
            <w:jc w:val="both"/>
            <w:rPr>
              <w:rFonts w:eastAsiaTheme="minorEastAsia" w:cs="Arial"/>
              <w:noProof w:val="0"/>
              <w:sz w:val="26"/>
              <w:szCs w:val="26"/>
              <w:lang w:eastAsia="fr-FR"/>
            </w:rPr>
          </w:pPr>
          <w:hyperlink w:anchor="_Toc131689943" w:history="1">
            <w:r w:rsidR="00CF0E90" w:rsidRPr="00C54A15">
              <w:rPr>
                <w:rStyle w:val="Hyperlink"/>
                <w:rFonts w:cs="Arial"/>
                <w:noProof w:val="0"/>
                <w:sz w:val="26"/>
                <w:szCs w:val="26"/>
              </w:rPr>
              <w:t>IV.</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Our engagement strategy with issuers and management companies</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_Toc131689943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13</w:t>
            </w:r>
            <w:r w:rsidR="00CF0E90" w:rsidRPr="00C54A15">
              <w:rPr>
                <w:rFonts w:cs="Arial"/>
                <w:noProof w:val="0"/>
                <w:webHidden/>
                <w:sz w:val="26"/>
                <w:szCs w:val="26"/>
              </w:rPr>
              <w:fldChar w:fldCharType="end"/>
            </w:r>
          </w:hyperlink>
        </w:p>
        <w:p w14:paraId="2C89F670" w14:textId="1184A341" w:rsidR="00CF0E90" w:rsidRPr="00C54A15" w:rsidRDefault="00AE09D7" w:rsidP="0055573C">
          <w:pPr>
            <w:pStyle w:val="TOC1"/>
            <w:jc w:val="both"/>
            <w:rPr>
              <w:rFonts w:eastAsiaTheme="minorEastAsia" w:cs="Arial"/>
              <w:noProof w:val="0"/>
              <w:sz w:val="26"/>
              <w:szCs w:val="26"/>
              <w:lang w:eastAsia="fr-FR"/>
            </w:rPr>
          </w:pPr>
          <w:hyperlink w:anchor="_Toc131689944" w:history="1">
            <w:r w:rsidR="00CF0E90" w:rsidRPr="00C54A15">
              <w:rPr>
                <w:rStyle w:val="Hyperlink"/>
                <w:rFonts w:cs="Arial"/>
                <w:noProof w:val="0"/>
                <w:sz w:val="26"/>
                <w:szCs w:val="26"/>
              </w:rPr>
              <w:t>V.</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European taxonomy and fossil fuels</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_Toc131689944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17</w:t>
            </w:r>
            <w:r w:rsidR="00CF0E90" w:rsidRPr="00C54A15">
              <w:rPr>
                <w:rFonts w:cs="Arial"/>
                <w:noProof w:val="0"/>
                <w:webHidden/>
                <w:sz w:val="26"/>
                <w:szCs w:val="26"/>
              </w:rPr>
              <w:fldChar w:fldCharType="end"/>
            </w:r>
          </w:hyperlink>
        </w:p>
        <w:p w14:paraId="43BFE747" w14:textId="1B472F3E" w:rsidR="00CF0E90" w:rsidRPr="00C54A15" w:rsidRDefault="00AE09D7" w:rsidP="0055573C">
          <w:pPr>
            <w:pStyle w:val="TOC1"/>
            <w:jc w:val="both"/>
            <w:rPr>
              <w:rFonts w:eastAsiaTheme="minorEastAsia" w:cs="Arial"/>
              <w:noProof w:val="0"/>
              <w:sz w:val="26"/>
              <w:szCs w:val="26"/>
              <w:lang w:eastAsia="fr-FR"/>
            </w:rPr>
          </w:pPr>
          <w:hyperlink w:anchor="_Toc131689945" w:history="1">
            <w:r w:rsidR="00CF0E90" w:rsidRPr="00C54A15">
              <w:rPr>
                <w:rStyle w:val="Hyperlink"/>
                <w:rFonts w:cs="Arial"/>
                <w:noProof w:val="0"/>
                <w:sz w:val="26"/>
                <w:szCs w:val="26"/>
              </w:rPr>
              <w:t>VI.</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Our journey to net zero in line with the Paris Agreement</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_Toc131689945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18</w:t>
            </w:r>
            <w:r w:rsidR="00CF0E90" w:rsidRPr="00C54A15">
              <w:rPr>
                <w:rFonts w:cs="Arial"/>
                <w:noProof w:val="0"/>
                <w:webHidden/>
                <w:sz w:val="26"/>
                <w:szCs w:val="26"/>
              </w:rPr>
              <w:fldChar w:fldCharType="end"/>
            </w:r>
          </w:hyperlink>
        </w:p>
        <w:p w14:paraId="3418584C" w14:textId="59A59B52" w:rsidR="00CF0E90" w:rsidRPr="00C54A15" w:rsidRDefault="00AE09D7" w:rsidP="0055573C">
          <w:pPr>
            <w:pStyle w:val="TOC1"/>
            <w:jc w:val="both"/>
            <w:rPr>
              <w:rFonts w:eastAsiaTheme="minorEastAsia" w:cs="Arial"/>
              <w:noProof w:val="0"/>
              <w:sz w:val="26"/>
              <w:szCs w:val="26"/>
              <w:lang w:eastAsia="fr-FR"/>
            </w:rPr>
          </w:pPr>
          <w:hyperlink w:anchor="_Toc131689946" w:history="1">
            <w:r w:rsidR="00CF0E90" w:rsidRPr="00C54A15">
              <w:rPr>
                <w:rStyle w:val="Hyperlink"/>
                <w:rFonts w:cs="Arial"/>
                <w:noProof w:val="0"/>
                <w:sz w:val="26"/>
                <w:szCs w:val="26"/>
              </w:rPr>
              <w:t>VII.</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Our long-term biodiversity objectives</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_Toc131689946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22</w:t>
            </w:r>
            <w:r w:rsidR="00CF0E90" w:rsidRPr="00C54A15">
              <w:rPr>
                <w:rFonts w:cs="Arial"/>
                <w:noProof w:val="0"/>
                <w:webHidden/>
                <w:sz w:val="26"/>
                <w:szCs w:val="26"/>
              </w:rPr>
              <w:fldChar w:fldCharType="end"/>
            </w:r>
          </w:hyperlink>
        </w:p>
        <w:p w14:paraId="25003CB8" w14:textId="049E4872" w:rsidR="00CF0E90" w:rsidRPr="00C54A15" w:rsidRDefault="00AE09D7" w:rsidP="0055573C">
          <w:pPr>
            <w:pStyle w:val="TOC1"/>
            <w:jc w:val="both"/>
            <w:rPr>
              <w:rFonts w:eastAsiaTheme="minorEastAsia" w:cs="Arial"/>
              <w:noProof w:val="0"/>
              <w:sz w:val="26"/>
              <w:szCs w:val="26"/>
              <w:lang w:eastAsia="fr-FR"/>
            </w:rPr>
          </w:pPr>
          <w:hyperlink w:anchor="_Toc131689947" w:history="1">
            <w:r w:rsidR="00CF0E90" w:rsidRPr="00C54A15">
              <w:rPr>
                <w:rStyle w:val="Hyperlink"/>
                <w:rFonts w:cs="Arial"/>
                <w:noProof w:val="0"/>
                <w:sz w:val="26"/>
                <w:szCs w:val="26"/>
              </w:rPr>
              <w:t>VIII.</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Our risk management process</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_Toc131689947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24</w:t>
            </w:r>
            <w:r w:rsidR="00CF0E90" w:rsidRPr="00C54A15">
              <w:rPr>
                <w:rFonts w:cs="Arial"/>
                <w:noProof w:val="0"/>
                <w:webHidden/>
                <w:sz w:val="26"/>
                <w:szCs w:val="26"/>
              </w:rPr>
              <w:fldChar w:fldCharType="end"/>
            </w:r>
          </w:hyperlink>
        </w:p>
        <w:p w14:paraId="152621E8" w14:textId="1D11F152" w:rsidR="00CF0E90" w:rsidRPr="00C54A15" w:rsidRDefault="00AE09D7" w:rsidP="0055573C">
          <w:pPr>
            <w:pStyle w:val="TOC1"/>
            <w:jc w:val="both"/>
            <w:rPr>
              <w:rFonts w:eastAsiaTheme="minorEastAsia" w:cs="Arial"/>
              <w:noProof w:val="0"/>
              <w:sz w:val="26"/>
              <w:szCs w:val="26"/>
              <w:lang w:eastAsia="fr-FR"/>
            </w:rPr>
          </w:pPr>
          <w:hyperlink w:anchor="_Toc131689948" w:history="1">
            <w:r w:rsidR="00CF0E90" w:rsidRPr="00C54A15">
              <w:rPr>
                <w:rStyle w:val="Hyperlink"/>
                <w:rFonts w:cs="Arial"/>
                <w:noProof w:val="0"/>
                <w:sz w:val="26"/>
                <w:szCs w:val="26"/>
              </w:rPr>
              <w:t>IX.</w:t>
            </w:r>
            <w:r w:rsidR="00CF0E90" w:rsidRPr="00C54A15">
              <w:rPr>
                <w:rFonts w:eastAsiaTheme="minorEastAsia" w:cs="Arial"/>
                <w:noProof w:val="0"/>
                <w:sz w:val="26"/>
                <w:szCs w:val="26"/>
                <w:lang w:eastAsia="fr-FR"/>
              </w:rPr>
              <w:tab/>
            </w:r>
            <w:r w:rsidR="00CF0E90" w:rsidRPr="00C54A15">
              <w:rPr>
                <w:rStyle w:val="Hyperlink"/>
                <w:rFonts w:cs="Arial"/>
                <w:noProof w:val="0"/>
                <w:sz w:val="26"/>
                <w:szCs w:val="26"/>
              </w:rPr>
              <w:t>List of financial products referred to in Articles 8 and 9 of of the SFDR</w:t>
            </w:r>
            <w:r w:rsidR="00CF0E90" w:rsidRPr="00C54A15">
              <w:rPr>
                <w:rFonts w:cs="Arial"/>
                <w:noProof w:val="0"/>
                <w:webHidden/>
                <w:sz w:val="26"/>
                <w:szCs w:val="26"/>
              </w:rPr>
              <w:tab/>
            </w:r>
            <w:r w:rsidR="00CF0E90" w:rsidRPr="00C54A15">
              <w:rPr>
                <w:rFonts w:cs="Arial"/>
                <w:noProof w:val="0"/>
                <w:webHidden/>
                <w:sz w:val="26"/>
                <w:szCs w:val="26"/>
              </w:rPr>
              <w:fldChar w:fldCharType="begin"/>
            </w:r>
            <w:r w:rsidR="00CF0E90" w:rsidRPr="00C54A15">
              <w:rPr>
                <w:rFonts w:cs="Arial"/>
                <w:noProof w:val="0"/>
                <w:webHidden/>
                <w:sz w:val="26"/>
                <w:szCs w:val="26"/>
              </w:rPr>
              <w:instrText xml:space="preserve"> PAGEREF _Toc131689948 \h </w:instrText>
            </w:r>
            <w:r w:rsidR="00CF0E90" w:rsidRPr="00C54A15">
              <w:rPr>
                <w:rFonts w:cs="Arial"/>
                <w:noProof w:val="0"/>
                <w:webHidden/>
                <w:sz w:val="26"/>
                <w:szCs w:val="26"/>
              </w:rPr>
            </w:r>
            <w:r w:rsidR="00CF0E90" w:rsidRPr="00C54A15">
              <w:rPr>
                <w:rFonts w:cs="Arial"/>
                <w:noProof w:val="0"/>
                <w:webHidden/>
                <w:sz w:val="26"/>
                <w:szCs w:val="26"/>
              </w:rPr>
              <w:fldChar w:fldCharType="separate"/>
            </w:r>
            <w:r w:rsidR="00FA2DF0" w:rsidRPr="00C54A15">
              <w:rPr>
                <w:rFonts w:cs="Arial"/>
                <w:noProof w:val="0"/>
                <w:webHidden/>
                <w:sz w:val="26"/>
                <w:szCs w:val="26"/>
              </w:rPr>
              <w:t>27</w:t>
            </w:r>
            <w:r w:rsidR="00CF0E90" w:rsidRPr="00C54A15">
              <w:rPr>
                <w:rFonts w:cs="Arial"/>
                <w:noProof w:val="0"/>
                <w:webHidden/>
                <w:sz w:val="26"/>
                <w:szCs w:val="26"/>
              </w:rPr>
              <w:fldChar w:fldCharType="end"/>
            </w:r>
          </w:hyperlink>
        </w:p>
        <w:p w14:paraId="3D837F04" w14:textId="72EF8A8F" w:rsidR="007B6DB7" w:rsidRPr="00C54A15" w:rsidRDefault="007B6DB7" w:rsidP="0055573C">
          <w:pPr>
            <w:jc w:val="both"/>
            <w:rPr>
              <w:rFonts w:cs="Arial"/>
              <w:noProof w:val="0"/>
              <w:sz w:val="26"/>
              <w:szCs w:val="26"/>
            </w:rPr>
          </w:pPr>
          <w:r w:rsidRPr="00C54A15">
            <w:rPr>
              <w:rFonts w:cs="Arial"/>
              <w:noProof w:val="0"/>
              <w:sz w:val="26"/>
              <w:szCs w:val="26"/>
            </w:rPr>
            <w:fldChar w:fldCharType="end"/>
          </w:r>
        </w:p>
      </w:sdtContent>
    </w:sdt>
    <w:p w14:paraId="2BE69B28" w14:textId="48DB28B8" w:rsidR="00CA1802" w:rsidRPr="00C54A15" w:rsidRDefault="00CA1802" w:rsidP="0055573C">
      <w:pPr>
        <w:jc w:val="both"/>
        <w:rPr>
          <w:rFonts w:cs="Arial"/>
          <w:noProof w:val="0"/>
        </w:rPr>
      </w:pPr>
    </w:p>
    <w:p w14:paraId="1AB5F6DC" w14:textId="51CC0B7F" w:rsidR="00CA1802" w:rsidRPr="00C54A15" w:rsidRDefault="00CA1802" w:rsidP="0055573C">
      <w:pPr>
        <w:jc w:val="both"/>
        <w:rPr>
          <w:rFonts w:cs="Arial"/>
          <w:noProof w:val="0"/>
        </w:rPr>
      </w:pPr>
    </w:p>
    <w:p w14:paraId="1BE1DC1C" w14:textId="79018C2D" w:rsidR="00EF6487" w:rsidRPr="00C54A15" w:rsidRDefault="00EF6487" w:rsidP="0055573C">
      <w:pPr>
        <w:jc w:val="both"/>
        <w:rPr>
          <w:rFonts w:cs="Arial"/>
          <w:noProof w:val="0"/>
        </w:rPr>
      </w:pPr>
      <w:r w:rsidRPr="00C54A15">
        <w:rPr>
          <w:rFonts w:cs="Arial"/>
          <w:noProof w:val="0"/>
        </w:rPr>
        <w:br w:type="page"/>
      </w:r>
    </w:p>
    <w:p w14:paraId="5A6734B5" w14:textId="5A66F06E" w:rsidR="00CA1802" w:rsidRPr="00C54A15" w:rsidRDefault="6EA869DA" w:rsidP="0055573C">
      <w:pPr>
        <w:pStyle w:val="Heading1"/>
        <w:jc w:val="both"/>
        <w:rPr>
          <w:rFonts w:cs="Arial"/>
          <w:noProof w:val="0"/>
        </w:rPr>
      </w:pPr>
      <w:bookmarkStart w:id="0" w:name="_Toc131689940"/>
      <w:r w:rsidRPr="00C54A15">
        <w:rPr>
          <w:rFonts w:cs="Arial"/>
          <w:noProof w:val="0"/>
        </w:rPr>
        <w:lastRenderedPageBreak/>
        <w:t xml:space="preserve">Our </w:t>
      </w:r>
      <w:r w:rsidR="31128BDB" w:rsidRPr="00C54A15">
        <w:rPr>
          <w:rFonts w:cs="Arial"/>
          <w:noProof w:val="0"/>
        </w:rPr>
        <w:t>general approach</w:t>
      </w:r>
      <w:bookmarkEnd w:id="0"/>
    </w:p>
    <w:p w14:paraId="3FCDCBE6" w14:textId="0BF66DC0" w:rsidR="10D49E6A" w:rsidRPr="00C54A15" w:rsidRDefault="10D49E6A" w:rsidP="0055573C">
      <w:pPr>
        <w:pStyle w:val="Heading2"/>
        <w:jc w:val="both"/>
        <w:rPr>
          <w:rFonts w:cs="Arial"/>
          <w:noProof w:val="0"/>
        </w:rPr>
      </w:pPr>
      <w:r w:rsidRPr="00C54A15">
        <w:rPr>
          <w:rFonts w:cs="Arial"/>
          <w:noProof w:val="0"/>
        </w:rPr>
        <w:t>Our investment strategy</w:t>
      </w:r>
    </w:p>
    <w:p w14:paraId="4696DB1F" w14:textId="6D1067D9" w:rsidR="0055573C" w:rsidRPr="00C54A15" w:rsidRDefault="0055573C" w:rsidP="0055573C">
      <w:pPr>
        <w:jc w:val="both"/>
        <w:rPr>
          <w:noProof w:val="0"/>
        </w:rPr>
      </w:pPr>
      <w:r w:rsidRPr="00C54A15">
        <w:rPr>
          <w:noProof w:val="0"/>
        </w:rPr>
        <w:t xml:space="preserve">Jolt Capital enables growth stage technology-rich companies with strong fundamentals to execute their growth strategies in sectors which offer strong exit potential across </w:t>
      </w:r>
      <w:r w:rsidR="00C54A15" w:rsidRPr="00C54A15">
        <w:rPr>
          <w:noProof w:val="0"/>
        </w:rPr>
        <w:t>Hardware Driven</w:t>
      </w:r>
      <w:r w:rsidRPr="00C54A15">
        <w:rPr>
          <w:noProof w:val="0"/>
        </w:rPr>
        <w:t xml:space="preserve"> solutions and Software-Driven Solutions.</w:t>
      </w:r>
    </w:p>
    <w:p w14:paraId="681096F0" w14:textId="01F4ABD8" w:rsidR="0055573C" w:rsidRPr="00C54A15" w:rsidRDefault="00577A78" w:rsidP="0055573C">
      <w:pPr>
        <w:jc w:val="both"/>
        <w:rPr>
          <w:noProof w:val="0"/>
        </w:rPr>
      </w:pPr>
      <w:r w:rsidRPr="00C54A15">
        <w:rPr>
          <w:rFonts w:cs="Arial"/>
          <w:noProof w:val="0"/>
        </w:rPr>
        <w:t>W</w:t>
      </w:r>
      <w:r w:rsidR="00233053" w:rsidRPr="00C54A15">
        <w:rPr>
          <w:rFonts w:cs="Arial"/>
          <w:noProof w:val="0"/>
        </w:rPr>
        <w:t xml:space="preserve">e believe that Europe </w:t>
      </w:r>
      <w:r w:rsidRPr="00C54A15">
        <w:rPr>
          <w:rFonts w:cs="Arial"/>
          <w:noProof w:val="0"/>
        </w:rPr>
        <w:t>represents</w:t>
      </w:r>
      <w:r w:rsidR="00233053" w:rsidRPr="00C54A15">
        <w:rPr>
          <w:rFonts w:cs="Arial"/>
          <w:noProof w:val="0"/>
        </w:rPr>
        <w:t xml:space="preserve"> a reservoir of untapped potential across the tech sector and </w:t>
      </w:r>
      <w:r w:rsidRPr="00C54A15">
        <w:rPr>
          <w:rFonts w:cs="Arial"/>
          <w:noProof w:val="0"/>
        </w:rPr>
        <w:t xml:space="preserve">coupled with </w:t>
      </w:r>
      <w:r w:rsidR="00233053" w:rsidRPr="00C54A15">
        <w:rPr>
          <w:rFonts w:cs="Arial"/>
          <w:noProof w:val="0"/>
        </w:rPr>
        <w:t xml:space="preserve">a shortage of growth capital, </w:t>
      </w:r>
      <w:r w:rsidRPr="00C54A15">
        <w:rPr>
          <w:rFonts w:cs="Arial"/>
          <w:noProof w:val="0"/>
        </w:rPr>
        <w:t>hence</w:t>
      </w:r>
      <w:r w:rsidR="00233053" w:rsidRPr="00C54A15">
        <w:rPr>
          <w:rFonts w:cs="Arial"/>
          <w:noProof w:val="0"/>
        </w:rPr>
        <w:t xml:space="preserve"> by targeting the Growth Funding void for technology companies, we can enable accelerated growth &amp; efficient scaling by transforming the value of our portfolio companies. Our value-transform</w:t>
      </w:r>
      <w:r w:rsidRPr="00C54A15">
        <w:rPr>
          <w:rFonts w:cs="Arial"/>
          <w:noProof w:val="0"/>
        </w:rPr>
        <w:t>ing</w:t>
      </w:r>
      <w:r w:rsidR="00233053" w:rsidRPr="00C54A15">
        <w:rPr>
          <w:rFonts w:cs="Arial"/>
          <w:noProof w:val="0"/>
        </w:rPr>
        <w:t xml:space="preserve"> strategy </w:t>
      </w:r>
      <w:r w:rsidRPr="00C54A15">
        <w:rPr>
          <w:rFonts w:cs="Arial"/>
          <w:noProof w:val="0"/>
        </w:rPr>
        <w:t xml:space="preserve">enables </w:t>
      </w:r>
      <w:r w:rsidR="00233053" w:rsidRPr="00C54A15">
        <w:rPr>
          <w:rFonts w:cs="Arial"/>
          <w:noProof w:val="0"/>
        </w:rPr>
        <w:t>companies</w:t>
      </w:r>
      <w:r w:rsidRPr="00C54A15">
        <w:rPr>
          <w:rFonts w:cs="Arial"/>
          <w:noProof w:val="0"/>
        </w:rPr>
        <w:t xml:space="preserve"> to</w:t>
      </w:r>
      <w:r w:rsidR="00233053" w:rsidRPr="00C54A15">
        <w:rPr>
          <w:rFonts w:cs="Arial"/>
          <w:noProof w:val="0"/>
        </w:rPr>
        <w:t xml:space="preserve"> grow </w:t>
      </w:r>
      <w:r w:rsidRPr="00C54A15">
        <w:rPr>
          <w:rFonts w:cs="Arial"/>
          <w:noProof w:val="0"/>
        </w:rPr>
        <w:t xml:space="preserve">through a structured </w:t>
      </w:r>
      <w:r w:rsidR="00233053" w:rsidRPr="00C54A15">
        <w:rPr>
          <w:rFonts w:cs="Arial"/>
          <w:noProof w:val="0"/>
        </w:rPr>
        <w:t xml:space="preserve"> </w:t>
      </w:r>
      <w:r w:rsidRPr="00C54A15">
        <w:rPr>
          <w:rFonts w:cs="Arial"/>
          <w:noProof w:val="0"/>
        </w:rPr>
        <w:t>hands-on</w:t>
      </w:r>
      <w:r w:rsidR="00233053" w:rsidRPr="00C54A15">
        <w:rPr>
          <w:rFonts w:cs="Arial"/>
          <w:noProof w:val="0"/>
        </w:rPr>
        <w:t xml:space="preserve"> on approach with management on a global basis</w:t>
      </w:r>
      <w:r w:rsidRPr="00C54A15">
        <w:rPr>
          <w:rFonts w:cs="Arial"/>
          <w:noProof w:val="0"/>
        </w:rPr>
        <w:t>. This is demonstrated through</w:t>
      </w:r>
      <w:r w:rsidR="00233053" w:rsidRPr="00C54A15">
        <w:rPr>
          <w:rFonts w:cs="Arial"/>
          <w:noProof w:val="0"/>
        </w:rPr>
        <w:t xml:space="preserve"> build-ups, M&amp;A, joint ventures, strategic customers growth, filling key talent gaps, financial strategy, business strategy, process optimization and restructuring </w:t>
      </w:r>
      <w:r w:rsidRPr="00C54A15">
        <w:rPr>
          <w:rFonts w:cs="Arial"/>
          <w:noProof w:val="0"/>
        </w:rPr>
        <w:t>to name a few</w:t>
      </w:r>
      <w:r w:rsidR="00233053" w:rsidRPr="00C54A15">
        <w:rPr>
          <w:rFonts w:cs="Arial"/>
          <w:noProof w:val="0"/>
        </w:rPr>
        <w:t>.</w:t>
      </w:r>
      <w:r w:rsidR="00233053" w:rsidRPr="00C54A15">
        <w:rPr>
          <w:rFonts w:cs="Arial"/>
          <w:noProof w:val="0"/>
          <w:color w:val="FF0000"/>
        </w:rPr>
        <w:t xml:space="preserve"> </w:t>
      </w:r>
      <w:r w:rsidR="0055573C" w:rsidRPr="00C54A15">
        <w:rPr>
          <w:noProof w:val="0"/>
        </w:rPr>
        <w:t>Our passion for science and technology drives us to focus on highly innovative companies with strong execution capabilities and a real potential for global growth. We value intellectual property and encourage each of our portfolio companies to pursue deep value creation</w:t>
      </w:r>
      <w:r w:rsidRPr="00C54A15">
        <w:rPr>
          <w:noProof w:val="0"/>
        </w:rPr>
        <w:t>. As a matter of principle</w:t>
      </w:r>
      <w:r w:rsidR="0055573C" w:rsidRPr="00C54A15">
        <w:rPr>
          <w:noProof w:val="0"/>
        </w:rPr>
        <w:t xml:space="preserve">, we expect every million euro invested in Research &amp; Development to result in at least one patent application. By doing so, we invest in and support companies which contribute to improving societal wellbeing and creating high value jobs </w:t>
      </w:r>
      <w:r w:rsidRPr="00C54A15">
        <w:rPr>
          <w:noProof w:val="0"/>
        </w:rPr>
        <w:t xml:space="preserve">in the industries in which they operate. </w:t>
      </w:r>
    </w:p>
    <w:p w14:paraId="239EC366" w14:textId="47331B84" w:rsidR="004713C2" w:rsidRPr="00C54A15" w:rsidRDefault="00C54A15" w:rsidP="004713C2">
      <w:pPr>
        <w:jc w:val="both"/>
        <w:rPr>
          <w:noProof w:val="0"/>
        </w:rPr>
      </w:pPr>
      <w:r w:rsidRPr="00C54A15">
        <w:rPr>
          <w:noProof w:val="0"/>
        </w:rPr>
        <w:t>Ultimately</w:t>
      </w:r>
      <w:r w:rsidR="00577A78" w:rsidRPr="00C54A15">
        <w:rPr>
          <w:noProof w:val="0"/>
        </w:rPr>
        <w:t>, b</w:t>
      </w:r>
      <w:r w:rsidR="0055573C" w:rsidRPr="00C54A15">
        <w:rPr>
          <w:noProof w:val="0"/>
        </w:rPr>
        <w:t xml:space="preserve">y providing our portfolio companies with growth capital, expertise, and industry connections, we </w:t>
      </w:r>
      <w:r w:rsidR="00577A78" w:rsidRPr="00C54A15">
        <w:rPr>
          <w:noProof w:val="0"/>
        </w:rPr>
        <w:t>support</w:t>
      </w:r>
      <w:r w:rsidR="0055573C" w:rsidRPr="00C54A15">
        <w:rPr>
          <w:noProof w:val="0"/>
        </w:rPr>
        <w:t xml:space="preserve"> them </w:t>
      </w:r>
      <w:r w:rsidR="00577A78" w:rsidRPr="00C54A15">
        <w:rPr>
          <w:noProof w:val="0"/>
        </w:rPr>
        <w:t xml:space="preserve">in </w:t>
      </w:r>
      <w:r w:rsidR="0055573C" w:rsidRPr="00C54A15">
        <w:rPr>
          <w:noProof w:val="0"/>
        </w:rPr>
        <w:t>reach</w:t>
      </w:r>
      <w:r w:rsidR="00577A78" w:rsidRPr="00C54A15">
        <w:rPr>
          <w:noProof w:val="0"/>
        </w:rPr>
        <w:t>ing</w:t>
      </w:r>
      <w:r w:rsidR="0055573C" w:rsidRPr="00C54A15">
        <w:rPr>
          <w:noProof w:val="0"/>
        </w:rPr>
        <w:t xml:space="preserve"> a critical size and a global reach; we help them launch new products, address new </w:t>
      </w:r>
      <w:r w:rsidRPr="00C54A15">
        <w:rPr>
          <w:noProof w:val="0"/>
        </w:rPr>
        <w:t>markets,</w:t>
      </w:r>
      <w:r w:rsidR="0055573C" w:rsidRPr="00C54A15">
        <w:rPr>
          <w:noProof w:val="0"/>
        </w:rPr>
        <w:t xml:space="preserve"> and make acquisitions. We </w:t>
      </w:r>
      <w:r w:rsidR="00577A78" w:rsidRPr="00C54A15">
        <w:rPr>
          <w:noProof w:val="0"/>
        </w:rPr>
        <w:t>guide</w:t>
      </w:r>
      <w:r w:rsidR="0055573C" w:rsidRPr="00C54A15">
        <w:rPr>
          <w:noProof w:val="0"/>
        </w:rPr>
        <w:t xml:space="preserve"> them </w:t>
      </w:r>
      <w:r w:rsidR="00577A78" w:rsidRPr="00C54A15">
        <w:rPr>
          <w:noProof w:val="0"/>
        </w:rPr>
        <w:t xml:space="preserve">to </w:t>
      </w:r>
      <w:r w:rsidR="0055573C" w:rsidRPr="00C54A15">
        <w:rPr>
          <w:noProof w:val="0"/>
        </w:rPr>
        <w:t xml:space="preserve">achieve profitable growth and create sustainable technological value. </w:t>
      </w:r>
      <w:r w:rsidR="00577A78" w:rsidRPr="00C54A15">
        <w:rPr>
          <w:noProof w:val="0"/>
        </w:rPr>
        <w:t>Finally, upon disinvestment</w:t>
      </w:r>
      <w:r w:rsidR="0055573C" w:rsidRPr="00C54A15">
        <w:rPr>
          <w:noProof w:val="0"/>
        </w:rPr>
        <w:t xml:space="preserve">, we </w:t>
      </w:r>
      <w:r w:rsidR="00577A78" w:rsidRPr="00C54A15">
        <w:rPr>
          <w:noProof w:val="0"/>
        </w:rPr>
        <w:t>seek</w:t>
      </w:r>
      <w:r w:rsidR="0055573C" w:rsidRPr="00C54A15">
        <w:rPr>
          <w:noProof w:val="0"/>
        </w:rPr>
        <w:t xml:space="preserve"> to see</w:t>
      </w:r>
      <w:r w:rsidR="00577A78" w:rsidRPr="00C54A15">
        <w:rPr>
          <w:noProof w:val="0"/>
        </w:rPr>
        <w:t xml:space="preserve"> our portfolio companies</w:t>
      </w:r>
      <w:r w:rsidR="0055573C" w:rsidRPr="00C54A15">
        <w:rPr>
          <w:noProof w:val="0"/>
        </w:rPr>
        <w:t xml:space="preserve">  thrive as stand-alone, valuable, and sustainable companies.</w:t>
      </w:r>
      <w:r w:rsidR="00577A78" w:rsidRPr="00C54A15">
        <w:rPr>
          <w:noProof w:val="0"/>
        </w:rPr>
        <w:t xml:space="preserve"> We firmly believe that the technologies in which we invest can have a direct impact on people’s lives through the products and technologies they have developed. </w:t>
      </w:r>
    </w:p>
    <w:p w14:paraId="34C2693A" w14:textId="77777777" w:rsidR="00D02DCE" w:rsidRPr="00C54A15" w:rsidRDefault="00D02DCE" w:rsidP="004713C2">
      <w:pPr>
        <w:jc w:val="both"/>
        <w:rPr>
          <w:noProof w:val="0"/>
        </w:rPr>
      </w:pPr>
    </w:p>
    <w:p w14:paraId="2EEACA00" w14:textId="00542F68" w:rsidR="00706D76" w:rsidRPr="00C54A15" w:rsidRDefault="00706D76" w:rsidP="00706D76">
      <w:pPr>
        <w:pStyle w:val="Heading2"/>
        <w:jc w:val="both"/>
        <w:rPr>
          <w:rFonts w:cs="Arial"/>
          <w:noProof w:val="0"/>
        </w:rPr>
      </w:pPr>
      <w:r w:rsidRPr="00C54A15">
        <w:rPr>
          <w:rFonts w:cs="Arial"/>
          <w:noProof w:val="0"/>
        </w:rPr>
        <w:t>Our approach to ESG as a responsible investor</w:t>
      </w:r>
    </w:p>
    <w:p w14:paraId="3032C17D" w14:textId="77777777" w:rsidR="0061153F" w:rsidRPr="00C54A15" w:rsidRDefault="00B95812" w:rsidP="00636E2F">
      <w:pPr>
        <w:pStyle w:val="Heading2"/>
        <w:numPr>
          <w:ilvl w:val="0"/>
          <w:numId w:val="0"/>
        </w:numPr>
        <w:jc w:val="both"/>
        <w:rPr>
          <w:rFonts w:cs="Arial"/>
          <w:noProof w:val="0"/>
          <w:color w:val="auto"/>
          <w:sz w:val="22"/>
        </w:rPr>
      </w:pPr>
      <w:r w:rsidRPr="00C54A15">
        <w:rPr>
          <w:rFonts w:cs="Arial"/>
          <w:noProof w:val="0"/>
          <w:color w:val="auto"/>
          <w:sz w:val="22"/>
        </w:rPr>
        <w:t xml:space="preserve">Jolt Capital firmly upholds the belief that accounting for Environmental, Social and Governance (ESG) considerations in investment decisions is of paramount importance for ensuring the sustainable performance of its portfolio companies. </w:t>
      </w:r>
    </w:p>
    <w:p w14:paraId="3242757E" w14:textId="6223D611" w:rsidR="00233053" w:rsidRPr="00C54A15" w:rsidRDefault="00233053" w:rsidP="000D5FAE">
      <w:pPr>
        <w:jc w:val="both"/>
        <w:rPr>
          <w:rFonts w:cs="Arial"/>
          <w:noProof w:val="0"/>
        </w:rPr>
      </w:pPr>
      <w:r w:rsidRPr="00C54A15">
        <w:rPr>
          <w:rFonts w:cs="Arial"/>
          <w:noProof w:val="0"/>
        </w:rPr>
        <w:t xml:space="preserve">We invest in companies generating efficiency gains, improving business </w:t>
      </w:r>
      <w:r w:rsidR="00C54A15" w:rsidRPr="00C54A15">
        <w:rPr>
          <w:rFonts w:cs="Arial"/>
          <w:noProof w:val="0"/>
        </w:rPr>
        <w:t>processes,</w:t>
      </w:r>
      <w:r w:rsidRPr="00C54A15">
        <w:rPr>
          <w:rFonts w:cs="Arial"/>
          <w:noProof w:val="0"/>
        </w:rPr>
        <w:t xml:space="preserve"> and solving problems through technology, not through the exploitation of natural or human resources. Our investments focus on </w:t>
      </w:r>
      <w:r w:rsidRPr="00C54A15">
        <w:rPr>
          <w:rFonts w:eastAsia="Times New Roman" w:cs="Arial"/>
          <w:noProof w:val="0"/>
          <w:color w:val="000000" w:themeColor="text1"/>
          <w:lang w:eastAsia="fr-FR"/>
        </w:rPr>
        <w:t>Mobility, Cloud, Sensors, AI, Big Data, Robotics, Internet of Things (IoT), Cyber security, Industry 4.0/connected factories, Semiconductors, advanced materials, energy management and Digital Health.</w:t>
      </w:r>
    </w:p>
    <w:p w14:paraId="71AE5954" w14:textId="50958108" w:rsidR="0061153F" w:rsidRPr="00C54A15" w:rsidRDefault="00B95812" w:rsidP="00636E2F">
      <w:pPr>
        <w:pStyle w:val="Heading2"/>
        <w:numPr>
          <w:ilvl w:val="0"/>
          <w:numId w:val="0"/>
        </w:numPr>
        <w:jc w:val="both"/>
        <w:rPr>
          <w:rFonts w:cs="Arial"/>
          <w:noProof w:val="0"/>
          <w:color w:val="auto"/>
          <w:sz w:val="22"/>
        </w:rPr>
      </w:pPr>
      <w:r w:rsidRPr="00C54A15">
        <w:rPr>
          <w:rFonts w:cs="Arial"/>
          <w:noProof w:val="0"/>
          <w:color w:val="auto"/>
          <w:sz w:val="22"/>
        </w:rPr>
        <w:t xml:space="preserve">As a responsible investor and shareholder, we are fully committed to realizing the full potential for value creation of each of our portfolio companies, by integrating ESG factors throughout the entire investment lifecycle and supporting our portfolio companies in promoting economic prosperity, social progress, environmental </w:t>
      </w:r>
      <w:r w:rsidR="00C54A15" w:rsidRPr="00C54A15">
        <w:rPr>
          <w:rFonts w:cs="Arial"/>
          <w:noProof w:val="0"/>
          <w:color w:val="auto"/>
          <w:sz w:val="22"/>
        </w:rPr>
        <w:t>stewardship,</w:t>
      </w:r>
      <w:r w:rsidRPr="00C54A15">
        <w:rPr>
          <w:rFonts w:cs="Arial"/>
          <w:noProof w:val="0"/>
          <w:color w:val="auto"/>
          <w:sz w:val="22"/>
        </w:rPr>
        <w:t xml:space="preserve"> and sound governance. </w:t>
      </w:r>
    </w:p>
    <w:p w14:paraId="3FCE9566" w14:textId="686EE448" w:rsidR="00B95812" w:rsidRPr="00C54A15" w:rsidRDefault="00B95812" w:rsidP="00636E2F">
      <w:pPr>
        <w:pStyle w:val="Heading2"/>
        <w:numPr>
          <w:ilvl w:val="0"/>
          <w:numId w:val="0"/>
        </w:numPr>
        <w:jc w:val="both"/>
        <w:rPr>
          <w:rFonts w:cs="Arial"/>
          <w:noProof w:val="0"/>
          <w:color w:val="auto"/>
          <w:sz w:val="22"/>
        </w:rPr>
      </w:pPr>
      <w:r w:rsidRPr="00C54A15">
        <w:rPr>
          <w:rFonts w:cs="Arial"/>
          <w:noProof w:val="0"/>
          <w:color w:val="auto"/>
          <w:sz w:val="22"/>
        </w:rPr>
        <w:t xml:space="preserve">Our responsible investment approach forms an integral part of our fiduciary responsibility as an </w:t>
      </w:r>
      <w:r w:rsidR="00C54A15" w:rsidRPr="00C54A15">
        <w:rPr>
          <w:rFonts w:cs="Arial"/>
          <w:noProof w:val="0"/>
          <w:color w:val="auto"/>
          <w:sz w:val="22"/>
        </w:rPr>
        <w:t>investor and</w:t>
      </w:r>
      <w:r w:rsidRPr="00C54A15">
        <w:rPr>
          <w:rFonts w:cs="Arial"/>
          <w:noProof w:val="0"/>
          <w:color w:val="auto"/>
          <w:sz w:val="22"/>
        </w:rPr>
        <w:t xml:space="preserve"> aims at promoting ESG standards not only within our own industry, but also in other industries in which we invest.</w:t>
      </w:r>
    </w:p>
    <w:p w14:paraId="6B3707E2" w14:textId="647426EA" w:rsidR="00B95812" w:rsidRPr="00C54A15" w:rsidRDefault="00B95812" w:rsidP="00636E2F">
      <w:pPr>
        <w:pStyle w:val="Heading2"/>
        <w:numPr>
          <w:ilvl w:val="0"/>
          <w:numId w:val="0"/>
        </w:numPr>
        <w:jc w:val="both"/>
        <w:rPr>
          <w:rFonts w:cs="Arial"/>
          <w:noProof w:val="0"/>
          <w:color w:val="auto"/>
          <w:sz w:val="22"/>
        </w:rPr>
      </w:pPr>
      <w:r w:rsidRPr="00C54A15">
        <w:rPr>
          <w:rFonts w:cs="Arial"/>
          <w:noProof w:val="0"/>
          <w:color w:val="auto"/>
          <w:sz w:val="22"/>
        </w:rPr>
        <w:t xml:space="preserve">Our Responsible Investment Policy rests on the following three strategic pillars: </w:t>
      </w:r>
    </w:p>
    <w:p w14:paraId="77C8E333" w14:textId="6D58D33D" w:rsidR="00B95812" w:rsidRPr="00C54A15" w:rsidRDefault="00B95812" w:rsidP="00B95812">
      <w:pPr>
        <w:pStyle w:val="Heading2"/>
        <w:numPr>
          <w:ilvl w:val="0"/>
          <w:numId w:val="31"/>
        </w:numPr>
        <w:jc w:val="both"/>
        <w:rPr>
          <w:rFonts w:cs="Arial"/>
          <w:noProof w:val="0"/>
          <w:color w:val="auto"/>
          <w:sz w:val="22"/>
        </w:rPr>
      </w:pPr>
      <w:r w:rsidRPr="00C54A15">
        <w:rPr>
          <w:rFonts w:cs="Arial"/>
          <w:b/>
          <w:bCs/>
          <w:noProof w:val="0"/>
          <w:color w:val="auto"/>
          <w:sz w:val="22"/>
        </w:rPr>
        <w:lastRenderedPageBreak/>
        <w:t>Added value</w:t>
      </w:r>
      <w:r w:rsidRPr="00C54A15">
        <w:rPr>
          <w:rFonts w:cs="Arial"/>
          <w:noProof w:val="0"/>
          <w:color w:val="auto"/>
          <w:sz w:val="22"/>
        </w:rPr>
        <w:t>: Jolt Capital focuses on companies that generate efficiency gains and enhance business processes through technology, rather than through the exploitation of natural or human resources.</w:t>
      </w:r>
    </w:p>
    <w:p w14:paraId="3B040A19" w14:textId="3CAE6F5D" w:rsidR="00B95812" w:rsidRPr="00C54A15" w:rsidRDefault="00B95812" w:rsidP="00B95812">
      <w:pPr>
        <w:pStyle w:val="Heading2"/>
        <w:numPr>
          <w:ilvl w:val="0"/>
          <w:numId w:val="31"/>
        </w:numPr>
        <w:jc w:val="both"/>
        <w:rPr>
          <w:rFonts w:cs="Arial"/>
          <w:noProof w:val="0"/>
          <w:color w:val="auto"/>
          <w:sz w:val="22"/>
        </w:rPr>
      </w:pPr>
      <w:r w:rsidRPr="00C54A15">
        <w:rPr>
          <w:rFonts w:cs="Arial"/>
          <w:b/>
          <w:bCs/>
          <w:noProof w:val="0"/>
          <w:color w:val="auto"/>
          <w:sz w:val="22"/>
        </w:rPr>
        <w:t>Exemplary governance</w:t>
      </w:r>
      <w:r w:rsidRPr="00C54A15">
        <w:rPr>
          <w:rFonts w:cs="Arial"/>
          <w:noProof w:val="0"/>
          <w:color w:val="auto"/>
          <w:sz w:val="22"/>
        </w:rPr>
        <w:t>: We ensure that all our operations are conducted with complete integrity, and that none carry any risk of corruption.</w:t>
      </w:r>
    </w:p>
    <w:p w14:paraId="6FAE5801" w14:textId="6C6E8F66" w:rsidR="00B95812" w:rsidRPr="00C54A15" w:rsidRDefault="00B95812" w:rsidP="000D5FAE">
      <w:pPr>
        <w:pStyle w:val="Heading2"/>
        <w:numPr>
          <w:ilvl w:val="0"/>
          <w:numId w:val="31"/>
        </w:numPr>
        <w:jc w:val="both"/>
        <w:rPr>
          <w:rFonts w:cs="Arial"/>
          <w:noProof w:val="0"/>
          <w:color w:val="auto"/>
          <w:sz w:val="22"/>
        </w:rPr>
      </w:pPr>
      <w:r w:rsidRPr="00C54A15">
        <w:rPr>
          <w:rFonts w:cs="Arial"/>
          <w:b/>
          <w:bCs/>
          <w:noProof w:val="0"/>
          <w:color w:val="auto"/>
          <w:sz w:val="22"/>
        </w:rPr>
        <w:t>Risk management</w:t>
      </w:r>
      <w:r w:rsidRPr="00C54A15">
        <w:rPr>
          <w:rFonts w:cs="Arial"/>
          <w:noProof w:val="0"/>
          <w:color w:val="auto"/>
          <w:sz w:val="22"/>
        </w:rPr>
        <w:t>: Jolt Capital actively refrains from investing in ESG-sensitive sectors and products.</w:t>
      </w:r>
    </w:p>
    <w:p w14:paraId="68802EFE" w14:textId="77777777" w:rsidR="000D5FAE" w:rsidRPr="00C54A15" w:rsidRDefault="000D5FAE" w:rsidP="000D5FAE">
      <w:pPr>
        <w:rPr>
          <w:noProof w:val="0"/>
        </w:rPr>
      </w:pPr>
    </w:p>
    <w:p w14:paraId="5A5EEA92" w14:textId="73008E06" w:rsidR="004713C2" w:rsidRPr="00C54A15" w:rsidRDefault="004713C2" w:rsidP="004713C2">
      <w:pPr>
        <w:jc w:val="both"/>
        <w:rPr>
          <w:noProof w:val="0"/>
        </w:rPr>
      </w:pPr>
      <w:r w:rsidRPr="00C54A15">
        <w:rPr>
          <w:noProof w:val="0"/>
        </w:rPr>
        <w:t xml:space="preserve">100% of our assets under management listed below </w:t>
      </w:r>
      <w:r w:rsidR="00C54A15" w:rsidRPr="00C54A15">
        <w:rPr>
          <w:noProof w:val="0"/>
        </w:rPr>
        <w:t>consider</w:t>
      </w:r>
      <w:r w:rsidRPr="00C54A15">
        <w:rPr>
          <w:noProof w:val="0"/>
        </w:rPr>
        <w:t xml:space="preserve"> environmental, social and governance criteria.</w:t>
      </w:r>
    </w:p>
    <w:tbl>
      <w:tblPr>
        <w:tblStyle w:val="TableGrid"/>
        <w:tblW w:w="0" w:type="auto"/>
        <w:tblLook w:val="04A0" w:firstRow="1" w:lastRow="0" w:firstColumn="1" w:lastColumn="0" w:noHBand="0" w:noVBand="1"/>
      </w:tblPr>
      <w:tblGrid>
        <w:gridCol w:w="2336"/>
        <w:gridCol w:w="2336"/>
        <w:gridCol w:w="2337"/>
        <w:gridCol w:w="2337"/>
      </w:tblGrid>
      <w:tr w:rsidR="004713C2" w:rsidRPr="00C54A15" w14:paraId="6CE06DD6" w14:textId="77777777" w:rsidTr="00F27835">
        <w:tc>
          <w:tcPr>
            <w:tcW w:w="2336" w:type="dxa"/>
            <w:shd w:val="clear" w:color="auto" w:fill="14BCAC"/>
            <w:vAlign w:val="center"/>
          </w:tcPr>
          <w:p w14:paraId="7DC8EE38" w14:textId="0755499F" w:rsidR="004713C2" w:rsidRPr="00C54A15" w:rsidRDefault="004713C2" w:rsidP="00F27835">
            <w:pPr>
              <w:jc w:val="center"/>
              <w:rPr>
                <w:b/>
                <w:bCs/>
                <w:noProof w:val="0"/>
                <w:color w:val="FFFFFF" w:themeColor="background1"/>
                <w:sz w:val="20"/>
                <w:szCs w:val="18"/>
              </w:rPr>
            </w:pPr>
            <w:r w:rsidRPr="00C54A15">
              <w:rPr>
                <w:b/>
                <w:bCs/>
                <w:noProof w:val="0"/>
                <w:color w:val="FFFFFF" w:themeColor="background1"/>
                <w:sz w:val="20"/>
                <w:szCs w:val="18"/>
              </w:rPr>
              <w:t>Asset name</w:t>
            </w:r>
          </w:p>
        </w:tc>
        <w:tc>
          <w:tcPr>
            <w:tcW w:w="2336" w:type="dxa"/>
            <w:shd w:val="clear" w:color="auto" w:fill="14BCAC"/>
            <w:vAlign w:val="center"/>
          </w:tcPr>
          <w:p w14:paraId="2067D00F" w14:textId="531006D3" w:rsidR="004713C2" w:rsidRPr="00C54A15" w:rsidRDefault="004713C2" w:rsidP="00F27835">
            <w:pPr>
              <w:jc w:val="center"/>
              <w:rPr>
                <w:b/>
                <w:bCs/>
                <w:noProof w:val="0"/>
                <w:color w:val="FFFFFF" w:themeColor="background1"/>
                <w:sz w:val="20"/>
                <w:szCs w:val="18"/>
              </w:rPr>
            </w:pPr>
            <w:r w:rsidRPr="00C54A15">
              <w:rPr>
                <w:b/>
                <w:bCs/>
                <w:noProof w:val="0"/>
                <w:color w:val="FFFFFF" w:themeColor="background1"/>
                <w:sz w:val="20"/>
                <w:szCs w:val="18"/>
              </w:rPr>
              <w:t>SFDR classification</w:t>
            </w:r>
          </w:p>
        </w:tc>
        <w:tc>
          <w:tcPr>
            <w:tcW w:w="2337" w:type="dxa"/>
            <w:shd w:val="clear" w:color="auto" w:fill="14BCAC"/>
            <w:vAlign w:val="center"/>
          </w:tcPr>
          <w:p w14:paraId="49A590B6" w14:textId="374711DA" w:rsidR="004713C2" w:rsidRPr="00C54A15" w:rsidRDefault="00AE09D7" w:rsidP="00F27835">
            <w:pPr>
              <w:jc w:val="center"/>
              <w:rPr>
                <w:b/>
                <w:bCs/>
                <w:noProof w:val="0"/>
                <w:color w:val="FFFFFF" w:themeColor="background1"/>
                <w:sz w:val="20"/>
                <w:szCs w:val="18"/>
              </w:rPr>
            </w:pPr>
            <w:proofErr w:type="spellStart"/>
            <w:r>
              <w:rPr>
                <w:b/>
                <w:bCs/>
                <w:noProof w:val="0"/>
                <w:color w:val="FFFFFF" w:themeColor="background1"/>
                <w:sz w:val="20"/>
                <w:szCs w:val="18"/>
              </w:rPr>
              <w:t>AuM</w:t>
            </w:r>
            <w:proofErr w:type="spellEnd"/>
            <w:r w:rsidR="004713C2" w:rsidRPr="00C54A15">
              <w:rPr>
                <w:b/>
                <w:bCs/>
                <w:noProof w:val="0"/>
                <w:color w:val="FFFFFF" w:themeColor="background1"/>
                <w:sz w:val="20"/>
                <w:szCs w:val="18"/>
              </w:rPr>
              <w:t xml:space="preserve"> (M€)</w:t>
            </w:r>
          </w:p>
        </w:tc>
        <w:tc>
          <w:tcPr>
            <w:tcW w:w="2337" w:type="dxa"/>
            <w:shd w:val="clear" w:color="auto" w:fill="14BCAC"/>
            <w:vAlign w:val="center"/>
          </w:tcPr>
          <w:p w14:paraId="6FAD77F9" w14:textId="146A37BD" w:rsidR="004713C2" w:rsidRPr="00C54A15" w:rsidRDefault="004713C2" w:rsidP="00F27835">
            <w:pPr>
              <w:jc w:val="center"/>
              <w:rPr>
                <w:b/>
                <w:bCs/>
                <w:noProof w:val="0"/>
                <w:color w:val="FFFFFF" w:themeColor="background1"/>
                <w:sz w:val="20"/>
                <w:szCs w:val="18"/>
              </w:rPr>
            </w:pPr>
            <w:r w:rsidRPr="00C54A15">
              <w:rPr>
                <w:b/>
                <w:bCs/>
                <w:noProof w:val="0"/>
                <w:color w:val="FFFFFF" w:themeColor="background1"/>
                <w:sz w:val="20"/>
                <w:szCs w:val="18"/>
              </w:rPr>
              <w:t xml:space="preserve">Share </w:t>
            </w:r>
            <w:proofErr w:type="gramStart"/>
            <w:r w:rsidRPr="00C54A15">
              <w:rPr>
                <w:b/>
                <w:bCs/>
                <w:noProof w:val="0"/>
                <w:color w:val="FFFFFF" w:themeColor="background1"/>
                <w:sz w:val="20"/>
                <w:szCs w:val="18"/>
              </w:rPr>
              <w:t>taking into account</w:t>
            </w:r>
            <w:proofErr w:type="gramEnd"/>
            <w:r w:rsidRPr="00C54A15">
              <w:rPr>
                <w:b/>
                <w:bCs/>
                <w:noProof w:val="0"/>
                <w:color w:val="FFFFFF" w:themeColor="background1"/>
                <w:sz w:val="20"/>
                <w:szCs w:val="18"/>
              </w:rPr>
              <w:t xml:space="preserve"> ESG criteria</w:t>
            </w:r>
          </w:p>
        </w:tc>
      </w:tr>
      <w:tr w:rsidR="004713C2" w:rsidRPr="00C54A15" w14:paraId="4EE2E929" w14:textId="77777777" w:rsidTr="00F27835">
        <w:tc>
          <w:tcPr>
            <w:tcW w:w="2336" w:type="dxa"/>
            <w:vAlign w:val="center"/>
          </w:tcPr>
          <w:p w14:paraId="78E2979C" w14:textId="583E27C4" w:rsidR="004713C2" w:rsidRPr="00C54A15" w:rsidRDefault="004713C2" w:rsidP="00F27835">
            <w:pPr>
              <w:jc w:val="center"/>
              <w:rPr>
                <w:b/>
                <w:bCs/>
                <w:noProof w:val="0"/>
                <w:sz w:val="20"/>
                <w:szCs w:val="18"/>
              </w:rPr>
            </w:pPr>
            <w:r w:rsidRPr="00C54A15">
              <w:rPr>
                <w:b/>
                <w:bCs/>
                <w:noProof w:val="0"/>
                <w:sz w:val="20"/>
                <w:szCs w:val="18"/>
              </w:rPr>
              <w:t>Jolt TOF</w:t>
            </w:r>
          </w:p>
        </w:tc>
        <w:tc>
          <w:tcPr>
            <w:tcW w:w="2336" w:type="dxa"/>
          </w:tcPr>
          <w:p w14:paraId="27DF3907" w14:textId="6F06CA52" w:rsidR="004713C2" w:rsidRPr="00C54A15" w:rsidRDefault="004713C2" w:rsidP="003E3E94">
            <w:pPr>
              <w:jc w:val="center"/>
              <w:rPr>
                <w:noProof w:val="0"/>
                <w:sz w:val="20"/>
                <w:szCs w:val="18"/>
              </w:rPr>
            </w:pPr>
            <w:r w:rsidRPr="00C54A15">
              <w:rPr>
                <w:noProof w:val="0"/>
                <w:sz w:val="20"/>
                <w:szCs w:val="18"/>
              </w:rPr>
              <w:t>Article 6</w:t>
            </w:r>
          </w:p>
        </w:tc>
        <w:tc>
          <w:tcPr>
            <w:tcW w:w="2337" w:type="dxa"/>
          </w:tcPr>
          <w:p w14:paraId="399B9709" w14:textId="663BF185" w:rsidR="004713C2" w:rsidRPr="00C54A15" w:rsidRDefault="003E3E94" w:rsidP="003E3E94">
            <w:pPr>
              <w:jc w:val="center"/>
              <w:rPr>
                <w:noProof w:val="0"/>
                <w:sz w:val="20"/>
                <w:szCs w:val="18"/>
              </w:rPr>
            </w:pPr>
            <w:r w:rsidRPr="00C54A15">
              <w:rPr>
                <w:noProof w:val="0"/>
                <w:sz w:val="20"/>
                <w:szCs w:val="18"/>
              </w:rPr>
              <w:t>28,374</w:t>
            </w:r>
          </w:p>
        </w:tc>
        <w:tc>
          <w:tcPr>
            <w:tcW w:w="2337" w:type="dxa"/>
          </w:tcPr>
          <w:p w14:paraId="20FE17C7" w14:textId="31E99906" w:rsidR="004713C2" w:rsidRPr="00C54A15" w:rsidRDefault="003E3E94" w:rsidP="003E3E94">
            <w:pPr>
              <w:jc w:val="center"/>
              <w:rPr>
                <w:noProof w:val="0"/>
                <w:sz w:val="20"/>
                <w:szCs w:val="18"/>
              </w:rPr>
            </w:pPr>
            <w:r w:rsidRPr="00C54A15">
              <w:rPr>
                <w:noProof w:val="0"/>
                <w:sz w:val="20"/>
                <w:szCs w:val="18"/>
              </w:rPr>
              <w:t>100%</w:t>
            </w:r>
          </w:p>
        </w:tc>
      </w:tr>
      <w:tr w:rsidR="004713C2" w:rsidRPr="00C54A15" w14:paraId="686066CB" w14:textId="77777777" w:rsidTr="00F27835">
        <w:tc>
          <w:tcPr>
            <w:tcW w:w="2336" w:type="dxa"/>
            <w:vAlign w:val="center"/>
          </w:tcPr>
          <w:p w14:paraId="7217A8C0" w14:textId="1FF83832" w:rsidR="004713C2" w:rsidRPr="00C54A15" w:rsidRDefault="004713C2" w:rsidP="00F27835">
            <w:pPr>
              <w:jc w:val="center"/>
              <w:rPr>
                <w:b/>
                <w:bCs/>
                <w:noProof w:val="0"/>
                <w:sz w:val="20"/>
                <w:szCs w:val="18"/>
              </w:rPr>
            </w:pPr>
            <w:r w:rsidRPr="00C54A15">
              <w:rPr>
                <w:b/>
                <w:bCs/>
                <w:noProof w:val="0"/>
                <w:sz w:val="20"/>
                <w:szCs w:val="18"/>
              </w:rPr>
              <w:t>Jolt Capital III</w:t>
            </w:r>
          </w:p>
        </w:tc>
        <w:tc>
          <w:tcPr>
            <w:tcW w:w="2336" w:type="dxa"/>
          </w:tcPr>
          <w:p w14:paraId="10B1CC4F" w14:textId="6CD4849E" w:rsidR="004713C2" w:rsidRPr="00C54A15" w:rsidRDefault="004713C2" w:rsidP="003E3E94">
            <w:pPr>
              <w:jc w:val="center"/>
              <w:rPr>
                <w:noProof w:val="0"/>
                <w:sz w:val="20"/>
                <w:szCs w:val="18"/>
              </w:rPr>
            </w:pPr>
            <w:r w:rsidRPr="00C54A15">
              <w:rPr>
                <w:noProof w:val="0"/>
                <w:sz w:val="20"/>
                <w:szCs w:val="18"/>
              </w:rPr>
              <w:t>Article 6</w:t>
            </w:r>
          </w:p>
        </w:tc>
        <w:tc>
          <w:tcPr>
            <w:tcW w:w="2337" w:type="dxa"/>
          </w:tcPr>
          <w:p w14:paraId="0FF79E3C" w14:textId="4EA944FC" w:rsidR="004713C2" w:rsidRPr="00C54A15" w:rsidRDefault="00AE09D7" w:rsidP="003E3E94">
            <w:pPr>
              <w:jc w:val="center"/>
              <w:rPr>
                <w:noProof w:val="0"/>
                <w:sz w:val="20"/>
                <w:szCs w:val="18"/>
              </w:rPr>
            </w:pPr>
            <w:r>
              <w:rPr>
                <w:noProof w:val="0"/>
                <w:sz w:val="20"/>
                <w:szCs w:val="18"/>
              </w:rPr>
              <w:t>99,968</w:t>
            </w:r>
          </w:p>
        </w:tc>
        <w:tc>
          <w:tcPr>
            <w:tcW w:w="2337" w:type="dxa"/>
          </w:tcPr>
          <w:p w14:paraId="297E2BBB" w14:textId="74B8B528" w:rsidR="004713C2" w:rsidRPr="00C54A15" w:rsidRDefault="003E3E94" w:rsidP="003E3E94">
            <w:pPr>
              <w:jc w:val="center"/>
              <w:rPr>
                <w:noProof w:val="0"/>
                <w:sz w:val="20"/>
                <w:szCs w:val="18"/>
              </w:rPr>
            </w:pPr>
            <w:r w:rsidRPr="00C54A15">
              <w:rPr>
                <w:noProof w:val="0"/>
                <w:sz w:val="20"/>
                <w:szCs w:val="18"/>
              </w:rPr>
              <w:t>100%</w:t>
            </w:r>
          </w:p>
        </w:tc>
      </w:tr>
      <w:tr w:rsidR="004713C2" w:rsidRPr="00C54A15" w14:paraId="4C8B183F" w14:textId="77777777" w:rsidTr="00F27835">
        <w:tc>
          <w:tcPr>
            <w:tcW w:w="2336" w:type="dxa"/>
            <w:vAlign w:val="center"/>
          </w:tcPr>
          <w:p w14:paraId="55546CFC" w14:textId="5243B03A" w:rsidR="004713C2" w:rsidRPr="00C54A15" w:rsidRDefault="004713C2" w:rsidP="00F27835">
            <w:pPr>
              <w:jc w:val="center"/>
              <w:rPr>
                <w:b/>
                <w:bCs/>
                <w:noProof w:val="0"/>
                <w:sz w:val="20"/>
                <w:szCs w:val="18"/>
              </w:rPr>
            </w:pPr>
            <w:r w:rsidRPr="00C54A15">
              <w:rPr>
                <w:b/>
                <w:bCs/>
                <w:noProof w:val="0"/>
                <w:sz w:val="20"/>
                <w:szCs w:val="18"/>
              </w:rPr>
              <w:t>Jolt Capital IV</w:t>
            </w:r>
          </w:p>
        </w:tc>
        <w:tc>
          <w:tcPr>
            <w:tcW w:w="2336" w:type="dxa"/>
          </w:tcPr>
          <w:p w14:paraId="22E5E753" w14:textId="00C66577" w:rsidR="004713C2" w:rsidRPr="00C54A15" w:rsidRDefault="004713C2" w:rsidP="003E3E94">
            <w:pPr>
              <w:jc w:val="center"/>
              <w:rPr>
                <w:noProof w:val="0"/>
                <w:sz w:val="20"/>
                <w:szCs w:val="18"/>
              </w:rPr>
            </w:pPr>
            <w:r w:rsidRPr="00C54A15">
              <w:rPr>
                <w:noProof w:val="0"/>
                <w:sz w:val="20"/>
                <w:szCs w:val="18"/>
              </w:rPr>
              <w:t>Article 9</w:t>
            </w:r>
          </w:p>
        </w:tc>
        <w:tc>
          <w:tcPr>
            <w:tcW w:w="2337" w:type="dxa"/>
          </w:tcPr>
          <w:p w14:paraId="68E82494" w14:textId="2B9410C3" w:rsidR="004713C2" w:rsidRPr="00C54A15" w:rsidRDefault="00AE09D7" w:rsidP="003E3E94">
            <w:pPr>
              <w:jc w:val="center"/>
              <w:rPr>
                <w:noProof w:val="0"/>
                <w:sz w:val="20"/>
                <w:szCs w:val="18"/>
              </w:rPr>
            </w:pPr>
            <w:r>
              <w:rPr>
                <w:noProof w:val="0"/>
                <w:sz w:val="20"/>
                <w:szCs w:val="18"/>
              </w:rPr>
              <w:t>283,300</w:t>
            </w:r>
          </w:p>
        </w:tc>
        <w:tc>
          <w:tcPr>
            <w:tcW w:w="2337" w:type="dxa"/>
          </w:tcPr>
          <w:p w14:paraId="2CD04245" w14:textId="2EB95F9E" w:rsidR="004713C2" w:rsidRPr="00C54A15" w:rsidRDefault="003E3E94" w:rsidP="003E3E94">
            <w:pPr>
              <w:jc w:val="center"/>
              <w:rPr>
                <w:noProof w:val="0"/>
                <w:sz w:val="20"/>
                <w:szCs w:val="18"/>
              </w:rPr>
            </w:pPr>
            <w:r w:rsidRPr="00C54A15">
              <w:rPr>
                <w:noProof w:val="0"/>
                <w:sz w:val="20"/>
                <w:szCs w:val="18"/>
              </w:rPr>
              <w:t>100%</w:t>
            </w:r>
          </w:p>
        </w:tc>
      </w:tr>
    </w:tbl>
    <w:p w14:paraId="22741539" w14:textId="77777777" w:rsidR="004713C2" w:rsidRPr="00C54A15" w:rsidRDefault="004713C2" w:rsidP="00706D76">
      <w:pPr>
        <w:rPr>
          <w:noProof w:val="0"/>
        </w:rPr>
      </w:pPr>
    </w:p>
    <w:p w14:paraId="25370F1B" w14:textId="77777777" w:rsidR="00EA2441" w:rsidRPr="00C54A15" w:rsidRDefault="00EA2441" w:rsidP="00EA2441">
      <w:pPr>
        <w:pStyle w:val="Heading2"/>
        <w:jc w:val="both"/>
        <w:rPr>
          <w:rFonts w:cs="Arial"/>
          <w:noProof w:val="0"/>
        </w:rPr>
      </w:pPr>
      <w:r w:rsidRPr="00C54A15">
        <w:rPr>
          <w:rFonts w:cs="Arial"/>
          <w:noProof w:val="0"/>
        </w:rPr>
        <w:t>ESG in the investment process</w:t>
      </w:r>
    </w:p>
    <w:p w14:paraId="4C4B3E46" w14:textId="2404EABC" w:rsidR="00EA2441" w:rsidRPr="00C54A15" w:rsidRDefault="00EA2441" w:rsidP="00EA2441">
      <w:pPr>
        <w:jc w:val="both"/>
        <w:rPr>
          <w:rFonts w:cs="Arial"/>
          <w:noProof w:val="0"/>
        </w:rPr>
      </w:pPr>
      <w:r w:rsidRPr="00C54A15">
        <w:rPr>
          <w:rFonts w:cs="Arial"/>
          <w:noProof w:val="0"/>
        </w:rPr>
        <w:t xml:space="preserve">Jolt Capital’s commitment to responsible investment is conveyed through its investment strategy. </w:t>
      </w:r>
      <w:r w:rsidR="00E505AA" w:rsidRPr="00C54A15">
        <w:rPr>
          <w:rFonts w:cs="Arial"/>
          <w:noProof w:val="0"/>
        </w:rPr>
        <w:t xml:space="preserve">Throughout </w:t>
      </w:r>
      <w:r w:rsidR="00C54A15" w:rsidRPr="00C54A15">
        <w:rPr>
          <w:rFonts w:cs="Arial"/>
          <w:noProof w:val="0"/>
        </w:rPr>
        <w:t>all</w:t>
      </w:r>
      <w:r w:rsidR="00E505AA" w:rsidRPr="00C54A15">
        <w:rPr>
          <w:rFonts w:cs="Arial"/>
          <w:noProof w:val="0"/>
        </w:rPr>
        <w:t xml:space="preserve"> the</w:t>
      </w:r>
      <w:r w:rsidRPr="00C54A15">
        <w:rPr>
          <w:rFonts w:cs="Arial"/>
          <w:noProof w:val="0"/>
        </w:rPr>
        <w:t xml:space="preserve"> key stages of the investment process, from pre-investment</w:t>
      </w:r>
      <w:r w:rsidR="00E505AA" w:rsidRPr="00C54A15">
        <w:rPr>
          <w:rFonts w:cs="Arial"/>
          <w:noProof w:val="0"/>
        </w:rPr>
        <w:t xml:space="preserve"> decisions</w:t>
      </w:r>
      <w:r w:rsidRPr="00C54A15">
        <w:rPr>
          <w:rFonts w:cs="Arial"/>
          <w:noProof w:val="0"/>
        </w:rPr>
        <w:t xml:space="preserve"> to exit</w:t>
      </w:r>
      <w:r w:rsidR="00E505AA" w:rsidRPr="00C54A15">
        <w:rPr>
          <w:rFonts w:cs="Arial"/>
          <w:noProof w:val="0"/>
        </w:rPr>
        <w:t xml:space="preserve"> decisions</w:t>
      </w:r>
      <w:r w:rsidR="000A516F" w:rsidRPr="00C54A15">
        <w:rPr>
          <w:rFonts w:cs="Arial"/>
          <w:noProof w:val="0"/>
        </w:rPr>
        <w:t>,</w:t>
      </w:r>
      <w:r w:rsidRPr="00C54A15">
        <w:rPr>
          <w:rFonts w:cs="Arial"/>
          <w:noProof w:val="0"/>
        </w:rPr>
        <w:t xml:space="preserve"> ESG considerations are integrated into</w:t>
      </w:r>
      <w:r w:rsidR="00E505AA" w:rsidRPr="00C54A15">
        <w:rPr>
          <w:rFonts w:cs="Arial"/>
          <w:noProof w:val="0"/>
        </w:rPr>
        <w:t xml:space="preserve"> the</w:t>
      </w:r>
      <w:r w:rsidRPr="00C54A15">
        <w:rPr>
          <w:rFonts w:cs="Arial"/>
          <w:noProof w:val="0"/>
        </w:rPr>
        <w:t xml:space="preserve"> decision-making and ownership processes.</w:t>
      </w:r>
    </w:p>
    <w:p w14:paraId="2BB89DD2" w14:textId="77777777" w:rsidR="000D5FAE" w:rsidRPr="00C54A15" w:rsidRDefault="000D5FAE" w:rsidP="00960531">
      <w:pPr>
        <w:jc w:val="both"/>
        <w:rPr>
          <w:rFonts w:cs="Arial"/>
          <w:b/>
          <w:bCs/>
          <w:noProof w:val="0"/>
        </w:rPr>
      </w:pPr>
    </w:p>
    <w:p w14:paraId="69F2870F" w14:textId="73C6C676" w:rsidR="00225D14" w:rsidRPr="00C54A15" w:rsidRDefault="00225D14" w:rsidP="00960531">
      <w:pPr>
        <w:jc w:val="both"/>
        <w:rPr>
          <w:rFonts w:cs="Arial"/>
          <w:b/>
          <w:bCs/>
          <w:noProof w:val="0"/>
        </w:rPr>
      </w:pPr>
      <w:r w:rsidRPr="00C54A15">
        <w:rPr>
          <w:rFonts w:cs="Arial"/>
          <w:b/>
          <w:bCs/>
          <w:noProof w:val="0"/>
        </w:rPr>
        <w:t>Preliminary screening</w:t>
      </w:r>
    </w:p>
    <w:p w14:paraId="0710AEB6" w14:textId="3A312941" w:rsidR="00960531" w:rsidRPr="00C54A15" w:rsidRDefault="00233053" w:rsidP="00960531">
      <w:pPr>
        <w:jc w:val="both"/>
        <w:rPr>
          <w:rFonts w:cs="Arial"/>
          <w:noProof w:val="0"/>
        </w:rPr>
      </w:pPr>
      <w:r w:rsidRPr="00C54A15">
        <w:rPr>
          <w:rFonts w:cs="Arial"/>
          <w:noProof w:val="0"/>
        </w:rPr>
        <w:t>To ensure the effective delivery of such value creation to the society, we have implemented a positive screening approach enabling the proactive selection of companies with an impactful technology – we call this Deeptech - which means a technology able to directly or indirectly</w:t>
      </w:r>
      <w:r w:rsidR="00E505AA" w:rsidRPr="00C54A15">
        <w:rPr>
          <w:rFonts w:cs="Arial"/>
          <w:noProof w:val="0"/>
        </w:rPr>
        <w:t xml:space="preserve"> improve</w:t>
      </w:r>
      <w:r w:rsidRPr="00C54A15">
        <w:rPr>
          <w:rFonts w:cs="Arial"/>
          <w:noProof w:val="0"/>
        </w:rPr>
        <w:t xml:space="preserve"> climate change, resource use, ethical data use, human </w:t>
      </w:r>
      <w:r w:rsidR="00C54A15" w:rsidRPr="00C54A15">
        <w:rPr>
          <w:rFonts w:cs="Arial"/>
          <w:noProof w:val="0"/>
        </w:rPr>
        <w:t>skills,</w:t>
      </w:r>
      <w:r w:rsidRPr="00C54A15">
        <w:rPr>
          <w:rFonts w:cs="Arial"/>
          <w:noProof w:val="0"/>
        </w:rPr>
        <w:t xml:space="preserve"> and wellbeing.</w:t>
      </w:r>
      <w:r w:rsidR="00225D14" w:rsidRPr="00C54A15">
        <w:rPr>
          <w:rFonts w:cs="Arial"/>
          <w:noProof w:val="0"/>
        </w:rPr>
        <w:t xml:space="preserve"> This positive screening approach assures that we explicitly avoid investing in any ESG sensitive sectors.</w:t>
      </w:r>
    </w:p>
    <w:p w14:paraId="792AA347" w14:textId="77777777" w:rsidR="000D5FAE" w:rsidRPr="00C54A15" w:rsidRDefault="000D5FAE" w:rsidP="00EA2441">
      <w:pPr>
        <w:jc w:val="both"/>
        <w:rPr>
          <w:rFonts w:cs="Arial"/>
          <w:b/>
          <w:bCs/>
          <w:noProof w:val="0"/>
        </w:rPr>
      </w:pPr>
    </w:p>
    <w:p w14:paraId="7DA0D77F" w14:textId="4EB10C1D" w:rsidR="00EA2441" w:rsidRPr="00C54A15" w:rsidRDefault="00EA2441" w:rsidP="00EA2441">
      <w:pPr>
        <w:jc w:val="both"/>
        <w:rPr>
          <w:rFonts w:cs="Arial"/>
          <w:b/>
          <w:bCs/>
          <w:noProof w:val="0"/>
        </w:rPr>
      </w:pPr>
      <w:r w:rsidRPr="00C54A15">
        <w:rPr>
          <w:rFonts w:cs="Arial"/>
          <w:b/>
          <w:bCs/>
          <w:noProof w:val="0"/>
        </w:rPr>
        <w:t>Investment screening</w:t>
      </w:r>
    </w:p>
    <w:p w14:paraId="2275672A" w14:textId="77777777" w:rsidR="00B95812" w:rsidRPr="00C54A15" w:rsidRDefault="00B95812" w:rsidP="00EA2441">
      <w:pPr>
        <w:jc w:val="both"/>
        <w:rPr>
          <w:rFonts w:cs="Arial"/>
          <w:noProof w:val="0"/>
        </w:rPr>
      </w:pPr>
      <w:r w:rsidRPr="00C54A15">
        <w:rPr>
          <w:rFonts w:cs="Arial"/>
          <w:noProof w:val="0"/>
        </w:rPr>
        <w:t xml:space="preserve">Jolt Capital, places significant emphasis on environmental, social, and governance (ESG) considerations from the outset of its investment screening process. Our firm is committed to investing in companies that create societal value by leveraging technology to improve or disrupt business processes, while avoiding the exploitation of natural or human resources. </w:t>
      </w:r>
    </w:p>
    <w:p w14:paraId="5746DF9B" w14:textId="37A8FD90" w:rsidR="00B95812" w:rsidRPr="00C54A15" w:rsidRDefault="00B95812" w:rsidP="00EA2441">
      <w:pPr>
        <w:jc w:val="both"/>
        <w:rPr>
          <w:rFonts w:cs="Arial"/>
          <w:noProof w:val="0"/>
        </w:rPr>
      </w:pPr>
      <w:r w:rsidRPr="00C54A15">
        <w:rPr>
          <w:rFonts w:cs="Arial"/>
          <w:noProof w:val="0"/>
        </w:rPr>
        <w:t xml:space="preserve">In </w:t>
      </w:r>
      <w:r w:rsidR="00E505AA" w:rsidRPr="00C54A15">
        <w:rPr>
          <w:rFonts w:cs="Arial"/>
          <w:noProof w:val="0"/>
        </w:rPr>
        <w:t xml:space="preserve">furtherance of </w:t>
      </w:r>
      <w:r w:rsidRPr="00C54A15">
        <w:rPr>
          <w:rFonts w:cs="Arial"/>
          <w:noProof w:val="0"/>
        </w:rPr>
        <w:t xml:space="preserve">our responsible investment </w:t>
      </w:r>
      <w:r w:rsidR="0061153F" w:rsidRPr="00C54A15">
        <w:rPr>
          <w:rFonts w:cs="Arial"/>
          <w:noProof w:val="0"/>
        </w:rPr>
        <w:t>policy</w:t>
      </w:r>
      <w:r w:rsidRPr="00C54A15">
        <w:rPr>
          <w:rFonts w:cs="Arial"/>
          <w:noProof w:val="0"/>
        </w:rPr>
        <w:t>, Jolt Capital has established an exclusion</w:t>
      </w:r>
      <w:r w:rsidR="00960531" w:rsidRPr="00C54A15">
        <w:rPr>
          <w:rFonts w:cs="Arial"/>
          <w:noProof w:val="0"/>
        </w:rPr>
        <w:t xml:space="preserve"> policy</w:t>
      </w:r>
      <w:r w:rsidRPr="00C54A15">
        <w:rPr>
          <w:rFonts w:cs="Arial"/>
          <w:noProof w:val="0"/>
        </w:rPr>
        <w:t xml:space="preserve"> that is reviewed and updated annually. </w:t>
      </w:r>
      <w:r w:rsidR="00960531" w:rsidRPr="00C54A15">
        <w:rPr>
          <w:rFonts w:cs="Arial"/>
          <w:noProof w:val="0"/>
        </w:rPr>
        <w:t xml:space="preserve">Jolt Capital's Exclusion Policy defines and formalizes strict exclusions for companies operating in sectors or engaging in activities deemed negative. </w:t>
      </w:r>
      <w:r w:rsidRPr="00C54A15">
        <w:rPr>
          <w:rFonts w:cs="Arial"/>
          <w:noProof w:val="0"/>
        </w:rPr>
        <w:t xml:space="preserve">This list prohibits investment in ESG-sensitive sectors and products, such as gaming, weapons, tobacco, drugs, pornography, unethical genetic development, and products/activities deemed illegal under regulations or international conventions and agreements, or subject to international phaseouts or bans, as well as environmentally controversial sectors. </w:t>
      </w:r>
      <w:r w:rsidR="00960531" w:rsidRPr="00C54A15">
        <w:rPr>
          <w:rFonts w:cs="Arial"/>
          <w:noProof w:val="0"/>
        </w:rPr>
        <w:t>The full details of this exclusion list are available in Jolt Capital’s ESG Policy</w:t>
      </w:r>
      <w:r w:rsidR="002A6310" w:rsidRPr="00C54A15">
        <w:rPr>
          <w:rFonts w:cs="Arial"/>
          <w:noProof w:val="0"/>
        </w:rPr>
        <w:t xml:space="preserve"> on our website</w:t>
      </w:r>
      <w:r w:rsidR="00960531" w:rsidRPr="00C54A15">
        <w:rPr>
          <w:rFonts w:cs="Arial"/>
          <w:noProof w:val="0"/>
        </w:rPr>
        <w:t xml:space="preserve">. The list of sectors </w:t>
      </w:r>
      <w:r w:rsidR="00960531" w:rsidRPr="00C54A15">
        <w:rPr>
          <w:rFonts w:cs="Arial"/>
          <w:noProof w:val="0"/>
        </w:rPr>
        <w:lastRenderedPageBreak/>
        <w:t>included in the Exclusion Policy is frequently reviewed to reflect legislative</w:t>
      </w:r>
      <w:r w:rsidR="002A6310" w:rsidRPr="00C54A15">
        <w:rPr>
          <w:rFonts w:cs="Arial"/>
          <w:noProof w:val="0"/>
        </w:rPr>
        <w:t xml:space="preserve"> and social</w:t>
      </w:r>
      <w:r w:rsidR="00960531" w:rsidRPr="00C54A15">
        <w:rPr>
          <w:rFonts w:cs="Arial"/>
          <w:noProof w:val="0"/>
        </w:rPr>
        <w:t xml:space="preserve"> developments.</w:t>
      </w:r>
    </w:p>
    <w:p w14:paraId="151D3635" w14:textId="0D036BAF" w:rsidR="00EA2441" w:rsidRPr="00C54A15" w:rsidRDefault="00B95812" w:rsidP="00EA2441">
      <w:pPr>
        <w:jc w:val="both"/>
        <w:rPr>
          <w:rFonts w:cs="Arial"/>
          <w:noProof w:val="0"/>
        </w:rPr>
      </w:pPr>
      <w:r w:rsidRPr="00C54A15">
        <w:rPr>
          <w:rFonts w:cs="Arial"/>
          <w:noProof w:val="0"/>
        </w:rPr>
        <w:t>When a potential investment opportunity is identified by Jolt Capital's research team or a partner, the Investment Committee conducts a rigorous assessment of various aspects, including ESG considerations and conflict of interest risks, to determine whether key criteria are met.</w:t>
      </w:r>
    </w:p>
    <w:p w14:paraId="58A1B531" w14:textId="77777777" w:rsidR="000D5FAE" w:rsidRPr="00C54A15" w:rsidRDefault="000D5FAE" w:rsidP="00EA2441">
      <w:pPr>
        <w:jc w:val="both"/>
        <w:rPr>
          <w:rFonts w:cs="Arial"/>
          <w:b/>
          <w:bCs/>
          <w:noProof w:val="0"/>
        </w:rPr>
      </w:pPr>
    </w:p>
    <w:p w14:paraId="1CB55983" w14:textId="72524158" w:rsidR="00EA2441" w:rsidRPr="00C54A15" w:rsidRDefault="00EA2441" w:rsidP="00EA2441">
      <w:pPr>
        <w:jc w:val="both"/>
        <w:rPr>
          <w:rFonts w:cs="Arial"/>
          <w:b/>
          <w:bCs/>
          <w:noProof w:val="0"/>
        </w:rPr>
      </w:pPr>
      <w:r w:rsidRPr="00C54A15">
        <w:rPr>
          <w:rFonts w:cs="Arial"/>
          <w:b/>
          <w:bCs/>
          <w:noProof w:val="0"/>
        </w:rPr>
        <w:t>Pre-investment phase</w:t>
      </w:r>
    </w:p>
    <w:p w14:paraId="035AA863" w14:textId="69144192" w:rsidR="0061153F" w:rsidRPr="00C54A15" w:rsidRDefault="0061153F" w:rsidP="00006E36">
      <w:pPr>
        <w:jc w:val="both"/>
        <w:rPr>
          <w:rFonts w:cs="Arial"/>
          <w:noProof w:val="0"/>
        </w:rPr>
      </w:pPr>
      <w:r w:rsidRPr="00C54A15">
        <w:rPr>
          <w:rFonts w:cs="Arial"/>
          <w:noProof w:val="0"/>
        </w:rPr>
        <w:t>Prior to making any investments</w:t>
      </w:r>
      <w:r w:rsidR="00006E36" w:rsidRPr="00C54A15">
        <w:rPr>
          <w:rFonts w:cs="Arial"/>
          <w:noProof w:val="0"/>
        </w:rPr>
        <w:t xml:space="preserve">, we conduct a comprehensive ESG </w:t>
      </w:r>
      <w:r w:rsidR="00400D08" w:rsidRPr="00C54A15">
        <w:rPr>
          <w:rFonts w:cs="Arial"/>
          <w:noProof w:val="0"/>
        </w:rPr>
        <w:t>audit</w:t>
      </w:r>
      <w:r w:rsidR="00006E36" w:rsidRPr="00C54A15">
        <w:rPr>
          <w:rFonts w:cs="Arial"/>
          <w:noProof w:val="0"/>
        </w:rPr>
        <w:t xml:space="preserve">. Our investment strategy and approach allow us adequate time to fully </w:t>
      </w:r>
      <w:r w:rsidR="00E505AA" w:rsidRPr="00C54A15">
        <w:rPr>
          <w:rFonts w:cs="Arial"/>
          <w:noProof w:val="0"/>
        </w:rPr>
        <w:t xml:space="preserve">engage </w:t>
      </w:r>
      <w:r w:rsidR="00006E36" w:rsidRPr="00C54A15">
        <w:rPr>
          <w:rFonts w:cs="Arial"/>
          <w:noProof w:val="0"/>
        </w:rPr>
        <w:t xml:space="preserve">with management on critical issues, understand potential risks and opportunities, and agree on an ESG roadmap before committing to the investment. </w:t>
      </w:r>
      <w:r w:rsidR="00400D08" w:rsidRPr="00C54A15">
        <w:rPr>
          <w:rFonts w:cs="Arial"/>
          <w:noProof w:val="0"/>
        </w:rPr>
        <w:t xml:space="preserve">The results of the ESG audit are included in the Investment Committee's investment memorandum in order to inform its decision making. Conducting </w:t>
      </w:r>
      <w:r w:rsidR="00900E92" w:rsidRPr="00C54A15">
        <w:rPr>
          <w:rFonts w:cs="Arial"/>
          <w:noProof w:val="0"/>
        </w:rPr>
        <w:t xml:space="preserve">an </w:t>
      </w:r>
      <w:r w:rsidR="00400D08" w:rsidRPr="00C54A15">
        <w:rPr>
          <w:rFonts w:cs="Arial"/>
          <w:noProof w:val="0"/>
        </w:rPr>
        <w:t>ESG audit for each investment is a prerequisite for any financing.</w:t>
      </w:r>
    </w:p>
    <w:p w14:paraId="4976BF48" w14:textId="5F0E6626" w:rsidR="00400D08" w:rsidRPr="00C54A15" w:rsidRDefault="0061153F" w:rsidP="00400D08">
      <w:pPr>
        <w:jc w:val="both"/>
        <w:rPr>
          <w:rFonts w:cs="Arial"/>
          <w:noProof w:val="0"/>
        </w:rPr>
      </w:pPr>
      <w:r w:rsidRPr="00C54A15">
        <w:rPr>
          <w:rFonts w:cs="Arial"/>
          <w:noProof w:val="0"/>
        </w:rPr>
        <w:t xml:space="preserve">Our due diligence process consists of several stages. Firstly, we conduct interviews with current board members and members of the management team to address critical ESG issues. Next, we </w:t>
      </w:r>
      <w:r w:rsidR="00E505AA" w:rsidRPr="00C54A15">
        <w:rPr>
          <w:rFonts w:cs="Arial"/>
          <w:noProof w:val="0"/>
        </w:rPr>
        <w:t xml:space="preserve">conduct </w:t>
      </w:r>
      <w:r w:rsidRPr="00C54A15">
        <w:rPr>
          <w:rFonts w:cs="Arial"/>
          <w:noProof w:val="0"/>
        </w:rPr>
        <w:t xml:space="preserve">reference customer calls and perform financial and legal audits to ensure transparency and control within the company. Additionally, we conduct </w:t>
      </w:r>
      <w:r w:rsidR="00E505AA" w:rsidRPr="00C54A15">
        <w:rPr>
          <w:rFonts w:cs="Arial"/>
          <w:noProof w:val="0"/>
        </w:rPr>
        <w:t xml:space="preserve">a thorough investigation </w:t>
      </w:r>
      <w:r w:rsidRPr="00C54A15">
        <w:rPr>
          <w:rFonts w:cs="Arial"/>
          <w:noProof w:val="0"/>
        </w:rPr>
        <w:t xml:space="preserve">to assess the company's compliance with significant ESG regulations, as well as its maturity and performance on essential ESG issues </w:t>
      </w:r>
      <w:r w:rsidR="00E505AA" w:rsidRPr="00C54A15">
        <w:rPr>
          <w:rFonts w:cs="Arial"/>
          <w:noProof w:val="0"/>
        </w:rPr>
        <w:t>in the</w:t>
      </w:r>
      <w:r w:rsidRPr="00C54A15">
        <w:rPr>
          <w:rFonts w:cs="Arial"/>
          <w:noProof w:val="0"/>
        </w:rPr>
        <w:t xml:space="preserve"> sector</w:t>
      </w:r>
      <w:r w:rsidR="00E505AA" w:rsidRPr="00C54A15">
        <w:rPr>
          <w:rFonts w:cs="Arial"/>
          <w:noProof w:val="0"/>
        </w:rPr>
        <w:t xml:space="preserve"> in which it operates</w:t>
      </w:r>
      <w:r w:rsidRPr="00C54A15">
        <w:rPr>
          <w:rFonts w:cs="Arial"/>
          <w:noProof w:val="0"/>
        </w:rPr>
        <w:t xml:space="preserve">. This process results in the creation of an ESG roadmap </w:t>
      </w:r>
      <w:r w:rsidR="00E505AA" w:rsidRPr="00C54A15">
        <w:rPr>
          <w:rFonts w:cs="Arial"/>
          <w:noProof w:val="0"/>
        </w:rPr>
        <w:t>outlining</w:t>
      </w:r>
      <w:r w:rsidRPr="00C54A15">
        <w:rPr>
          <w:rFonts w:cs="Arial"/>
          <w:noProof w:val="0"/>
        </w:rPr>
        <w:t xml:space="preserve"> specific targets and key performance indicators (KPIs). This roadmap </w:t>
      </w:r>
      <w:r w:rsidR="00400D08" w:rsidRPr="00C54A15">
        <w:rPr>
          <w:rFonts w:cs="Arial"/>
          <w:noProof w:val="0"/>
        </w:rPr>
        <w:t xml:space="preserve">is then translated into ESG clauses in the final legal documentation (shareholders’ agreement, investment agreement, etc.). </w:t>
      </w:r>
      <w:r w:rsidR="00E505AA" w:rsidRPr="00C54A15">
        <w:rPr>
          <w:rFonts w:cs="Arial"/>
          <w:noProof w:val="0"/>
        </w:rPr>
        <w:t xml:space="preserve">The result of the audit is also integrated in </w:t>
      </w:r>
      <w:r w:rsidR="00C54A15" w:rsidRPr="00C54A15">
        <w:rPr>
          <w:rFonts w:cs="Arial"/>
          <w:noProof w:val="0"/>
        </w:rPr>
        <w:t>its</w:t>
      </w:r>
      <w:r w:rsidR="00E505AA" w:rsidRPr="00C54A15">
        <w:rPr>
          <w:rFonts w:cs="Arial"/>
          <w:noProof w:val="0"/>
        </w:rPr>
        <w:t xml:space="preserve"> entirety in all final legal documents.</w:t>
      </w:r>
    </w:p>
    <w:p w14:paraId="7A07E212" w14:textId="7D441A5A" w:rsidR="00006E36" w:rsidRPr="00C54A15" w:rsidRDefault="00400D08" w:rsidP="00400D08">
      <w:pPr>
        <w:jc w:val="both"/>
        <w:rPr>
          <w:rFonts w:cs="Arial"/>
          <w:noProof w:val="0"/>
          <w:szCs w:val="22"/>
        </w:rPr>
      </w:pPr>
      <w:r w:rsidRPr="00C54A15">
        <w:rPr>
          <w:rFonts w:cs="Arial"/>
          <w:noProof w:val="0"/>
          <w:szCs w:val="22"/>
        </w:rPr>
        <w:t>These clauses are defined according to (i) the structure of the company</w:t>
      </w:r>
      <w:r w:rsidR="00A14264" w:rsidRPr="00C54A15">
        <w:rPr>
          <w:rFonts w:cs="Arial"/>
          <w:noProof w:val="0"/>
          <w:szCs w:val="22"/>
        </w:rPr>
        <w:t xml:space="preserve"> and the industry in which the company operates</w:t>
      </w:r>
      <w:r w:rsidRPr="00C54A15">
        <w:rPr>
          <w:rFonts w:cs="Arial"/>
          <w:noProof w:val="0"/>
          <w:szCs w:val="22"/>
        </w:rPr>
        <w:t xml:space="preserve">, (ii) adherence to Jolt Capital's ESG Policy (including the Exclusion Policy), (iii) </w:t>
      </w:r>
      <w:r w:rsidR="00A14264" w:rsidRPr="00C54A15">
        <w:rPr>
          <w:rFonts w:cs="Arial"/>
          <w:noProof w:val="0"/>
          <w:szCs w:val="22"/>
        </w:rPr>
        <w:t xml:space="preserve">an </w:t>
      </w:r>
      <w:r w:rsidRPr="00C54A15">
        <w:rPr>
          <w:rFonts w:cs="Arial"/>
          <w:noProof w:val="0"/>
          <w:szCs w:val="22"/>
        </w:rPr>
        <w:t xml:space="preserve">action plan to be implemented depending on the company's ESG maturity (iv) </w:t>
      </w:r>
      <w:r w:rsidR="00A14264" w:rsidRPr="00C54A15">
        <w:rPr>
          <w:rFonts w:cs="Arial"/>
          <w:noProof w:val="0"/>
          <w:szCs w:val="22"/>
        </w:rPr>
        <w:t xml:space="preserve">an </w:t>
      </w:r>
      <w:r w:rsidRPr="00C54A15">
        <w:rPr>
          <w:rFonts w:cs="Arial"/>
          <w:noProof w:val="0"/>
          <w:szCs w:val="22"/>
        </w:rPr>
        <w:t>annual ESG reporting</w:t>
      </w:r>
      <w:r w:rsidR="00A14264" w:rsidRPr="00C54A15">
        <w:rPr>
          <w:rFonts w:cs="Arial"/>
          <w:noProof w:val="0"/>
          <w:szCs w:val="22"/>
        </w:rPr>
        <w:t xml:space="preserve"> system</w:t>
      </w:r>
      <w:r w:rsidRPr="00C54A15">
        <w:rPr>
          <w:rFonts w:cs="Arial"/>
          <w:noProof w:val="0"/>
          <w:szCs w:val="22"/>
        </w:rPr>
        <w:t xml:space="preserve"> to assess the company's metrics.</w:t>
      </w:r>
    </w:p>
    <w:p w14:paraId="47D7AFCB" w14:textId="047301CE" w:rsidR="0061153F" w:rsidRPr="00C54A15" w:rsidRDefault="00006E36" w:rsidP="00006E36">
      <w:pPr>
        <w:jc w:val="both"/>
        <w:rPr>
          <w:rFonts w:cs="Arial"/>
          <w:noProof w:val="0"/>
        </w:rPr>
      </w:pPr>
      <w:r w:rsidRPr="00C54A15">
        <w:rPr>
          <w:rFonts w:cs="Arial"/>
          <w:noProof w:val="0"/>
        </w:rPr>
        <w:t xml:space="preserve">Although our approach is based on materiality, we systematically assess several key issues, </w:t>
      </w:r>
      <w:r w:rsidR="00A14264" w:rsidRPr="00C54A15">
        <w:rPr>
          <w:rFonts w:cs="Arial"/>
          <w:noProof w:val="0"/>
        </w:rPr>
        <w:t>including</w:t>
      </w:r>
      <w:r w:rsidRPr="00C54A15">
        <w:rPr>
          <w:rFonts w:cs="Arial"/>
          <w:noProof w:val="0"/>
        </w:rPr>
        <w:t xml:space="preserve"> climate and GHG emissions, governance, circularity, and data use for software companies, </w:t>
      </w:r>
      <w:r w:rsidR="00A14264" w:rsidRPr="00C54A15">
        <w:rPr>
          <w:rFonts w:cs="Arial"/>
          <w:noProof w:val="0"/>
        </w:rPr>
        <w:t>to name a few</w:t>
      </w:r>
      <w:r w:rsidRPr="00C54A15">
        <w:rPr>
          <w:rFonts w:cs="Arial"/>
          <w:noProof w:val="0"/>
        </w:rPr>
        <w:t xml:space="preserve">. Our analysis not only </w:t>
      </w:r>
      <w:r w:rsidR="00A14264" w:rsidRPr="00C54A15">
        <w:rPr>
          <w:rFonts w:cs="Arial"/>
          <w:noProof w:val="0"/>
        </w:rPr>
        <w:t xml:space="preserve">covers </w:t>
      </w:r>
      <w:r w:rsidRPr="00C54A15">
        <w:rPr>
          <w:rFonts w:cs="Arial"/>
          <w:noProof w:val="0"/>
        </w:rPr>
        <w:t xml:space="preserve">the company's direct environmental impacts but also </w:t>
      </w:r>
      <w:r w:rsidR="00A14264" w:rsidRPr="00C54A15">
        <w:rPr>
          <w:rFonts w:cs="Arial"/>
          <w:noProof w:val="0"/>
        </w:rPr>
        <w:t xml:space="preserve">addresses the </w:t>
      </w:r>
      <w:r w:rsidRPr="00C54A15">
        <w:rPr>
          <w:rFonts w:cs="Arial"/>
          <w:noProof w:val="0"/>
        </w:rPr>
        <w:t>indirect impacts associated with</w:t>
      </w:r>
      <w:r w:rsidR="00A14264" w:rsidRPr="00C54A15">
        <w:rPr>
          <w:rFonts w:cs="Arial"/>
          <w:noProof w:val="0"/>
        </w:rPr>
        <w:t>in</w:t>
      </w:r>
      <w:r w:rsidRPr="00C54A15">
        <w:rPr>
          <w:rFonts w:cs="Arial"/>
          <w:noProof w:val="0"/>
        </w:rPr>
        <w:t xml:space="preserve"> its value chain. </w:t>
      </w:r>
    </w:p>
    <w:p w14:paraId="346546FD" w14:textId="77777777" w:rsidR="00A14264" w:rsidRPr="00C54A15" w:rsidRDefault="00A14264" w:rsidP="00006E36">
      <w:pPr>
        <w:jc w:val="both"/>
        <w:rPr>
          <w:rFonts w:cs="Arial"/>
          <w:noProof w:val="0"/>
        </w:rPr>
      </w:pPr>
    </w:p>
    <w:p w14:paraId="2E05CA8C" w14:textId="4B3990AF" w:rsidR="00A14264" w:rsidRPr="00C54A15" w:rsidRDefault="00006E36" w:rsidP="00A14264">
      <w:pPr>
        <w:jc w:val="both"/>
        <w:rPr>
          <w:rFonts w:cs="Arial"/>
          <w:noProof w:val="0"/>
        </w:rPr>
      </w:pPr>
      <w:r w:rsidRPr="00C54A15">
        <w:rPr>
          <w:rFonts w:cs="Arial"/>
          <w:noProof w:val="0"/>
        </w:rPr>
        <w:t xml:space="preserve">We require an active board of directors, including independent members selected for their industry expertise, to be in place, and interrogate product lifecycle impact, from raw materials to waste and disposal, for hardware companies. </w:t>
      </w:r>
      <w:r w:rsidR="00A14264" w:rsidRPr="00C54A15">
        <w:rPr>
          <w:rFonts w:cs="Arial"/>
          <w:noProof w:val="0"/>
        </w:rPr>
        <w:t xml:space="preserve">Furthermore, for each portfolio company an individual is appointed and </w:t>
      </w:r>
      <w:r w:rsidR="00C54A15" w:rsidRPr="00C54A15">
        <w:rPr>
          <w:rFonts w:cs="Arial"/>
          <w:noProof w:val="0"/>
        </w:rPr>
        <w:t>oversees</w:t>
      </w:r>
      <w:r w:rsidR="00A14264" w:rsidRPr="00C54A15">
        <w:rPr>
          <w:rFonts w:cs="Arial"/>
          <w:noProof w:val="0"/>
        </w:rPr>
        <w:t xml:space="preserve"> sustainability matters within the company (either in a </w:t>
      </w:r>
      <w:r w:rsidR="00C54A15" w:rsidRPr="00C54A15">
        <w:rPr>
          <w:rFonts w:cs="Arial"/>
          <w:noProof w:val="0"/>
        </w:rPr>
        <w:t>full-time</w:t>
      </w:r>
      <w:r w:rsidR="00A14264" w:rsidRPr="00C54A15">
        <w:rPr>
          <w:rFonts w:cs="Arial"/>
          <w:noProof w:val="0"/>
        </w:rPr>
        <w:t xml:space="preserve"> position or as part time, or as part of a job position). This person reports directly to both the board of the relevant portfolio company, other responsible </w:t>
      </w:r>
      <w:r w:rsidR="00C54A15" w:rsidRPr="00C54A15">
        <w:rPr>
          <w:rFonts w:cs="Arial"/>
          <w:noProof w:val="0"/>
        </w:rPr>
        <w:t>shareholders,</w:t>
      </w:r>
      <w:r w:rsidR="00A14264" w:rsidRPr="00C54A15">
        <w:rPr>
          <w:rFonts w:cs="Arial"/>
          <w:noProof w:val="0"/>
        </w:rPr>
        <w:t xml:space="preserve"> and the compliance teams at Jolt Capital. In addition to this, when investing in a company, Jolt Capital requires at least eight board meetings per year (which creates an average cadence of one board meeting every six weeks). We also require that Audit committees and Nomination committees be formed </w:t>
      </w:r>
      <w:r w:rsidR="00C54A15" w:rsidRPr="00C54A15">
        <w:rPr>
          <w:rFonts w:cs="Arial"/>
          <w:noProof w:val="0"/>
        </w:rPr>
        <w:t>to</w:t>
      </w:r>
      <w:r w:rsidR="00A14264" w:rsidRPr="00C54A15">
        <w:rPr>
          <w:rFonts w:cs="Arial"/>
          <w:noProof w:val="0"/>
        </w:rPr>
        <w:t xml:space="preserve"> facilitate ad hoc and informal additional meetings.</w:t>
      </w:r>
    </w:p>
    <w:p w14:paraId="0A1CCDD4" w14:textId="2F383234" w:rsidR="00A14264" w:rsidRPr="00C54A15" w:rsidRDefault="00A14264" w:rsidP="00A14264">
      <w:pPr>
        <w:jc w:val="both"/>
        <w:rPr>
          <w:rFonts w:cs="Arial"/>
          <w:noProof w:val="0"/>
        </w:rPr>
      </w:pPr>
      <w:r w:rsidRPr="00C54A15">
        <w:rPr>
          <w:rFonts w:cs="Arial"/>
          <w:noProof w:val="0"/>
        </w:rPr>
        <w:t>This dual communication channel ensures that matters can be addressed both at the company board level and internally at Jolt Capital.</w:t>
      </w:r>
    </w:p>
    <w:p w14:paraId="76FA44BF" w14:textId="164B659E" w:rsidR="00EA2441" w:rsidRPr="00C54A15" w:rsidRDefault="00006E36" w:rsidP="00006E36">
      <w:pPr>
        <w:jc w:val="both"/>
        <w:rPr>
          <w:rFonts w:cs="Arial"/>
          <w:noProof w:val="0"/>
        </w:rPr>
      </w:pPr>
      <w:r w:rsidRPr="00C54A15">
        <w:rPr>
          <w:rFonts w:cs="Arial"/>
          <w:noProof w:val="0"/>
        </w:rPr>
        <w:t xml:space="preserve">Lastly, we closely assess issues </w:t>
      </w:r>
      <w:r w:rsidR="00A14264" w:rsidRPr="00C54A15">
        <w:rPr>
          <w:rFonts w:cs="Arial"/>
          <w:noProof w:val="0"/>
        </w:rPr>
        <w:t>societal news surrounding</w:t>
      </w:r>
      <w:r w:rsidRPr="00C54A15">
        <w:rPr>
          <w:rFonts w:cs="Arial"/>
          <w:noProof w:val="0"/>
        </w:rPr>
        <w:t xml:space="preserve"> data us</w:t>
      </w:r>
      <w:r w:rsidR="00A14264" w:rsidRPr="00C54A15">
        <w:rPr>
          <w:rFonts w:cs="Arial"/>
          <w:noProof w:val="0"/>
        </w:rPr>
        <w:t>age</w:t>
      </w:r>
      <w:r w:rsidRPr="00C54A15">
        <w:rPr>
          <w:rFonts w:cs="Arial"/>
          <w:noProof w:val="0"/>
        </w:rPr>
        <w:t>, including security, privacy, and ethical considerations, for software companies, where relevant.</w:t>
      </w:r>
    </w:p>
    <w:p w14:paraId="1377B472" w14:textId="77777777" w:rsidR="000D5FAE" w:rsidRPr="00C54A15" w:rsidRDefault="000D5FAE" w:rsidP="00EA2441">
      <w:pPr>
        <w:jc w:val="both"/>
        <w:rPr>
          <w:rFonts w:cs="Arial"/>
          <w:b/>
          <w:bCs/>
          <w:noProof w:val="0"/>
        </w:rPr>
      </w:pPr>
    </w:p>
    <w:p w14:paraId="105B53E8" w14:textId="04E9ABFD" w:rsidR="00EA2441" w:rsidRPr="00C54A15" w:rsidRDefault="00EA2441" w:rsidP="00EA2441">
      <w:pPr>
        <w:jc w:val="both"/>
        <w:rPr>
          <w:rFonts w:cs="Arial"/>
          <w:b/>
          <w:bCs/>
          <w:noProof w:val="0"/>
        </w:rPr>
      </w:pPr>
      <w:r w:rsidRPr="00C54A15">
        <w:rPr>
          <w:rFonts w:cs="Arial"/>
          <w:b/>
          <w:bCs/>
          <w:noProof w:val="0"/>
        </w:rPr>
        <w:lastRenderedPageBreak/>
        <w:t>Ownership phase</w:t>
      </w:r>
    </w:p>
    <w:p w14:paraId="4DEFD3C0" w14:textId="7F4A454B" w:rsidR="00006E36" w:rsidRPr="00C54A15" w:rsidRDefault="0061153F" w:rsidP="00006E36">
      <w:pPr>
        <w:jc w:val="both"/>
        <w:rPr>
          <w:rFonts w:cs="Arial"/>
          <w:noProof w:val="0"/>
        </w:rPr>
      </w:pPr>
      <w:r w:rsidRPr="00C54A15">
        <w:rPr>
          <w:rFonts w:cs="Arial"/>
          <w:noProof w:val="0"/>
        </w:rPr>
        <w:t>During the ownership phase</w:t>
      </w:r>
      <w:r w:rsidR="00006E36" w:rsidRPr="00C54A15">
        <w:rPr>
          <w:rFonts w:cs="Arial"/>
          <w:noProof w:val="0"/>
        </w:rPr>
        <w:t>, we request our portfolio companies to adhere to the following guidelines:</w:t>
      </w:r>
    </w:p>
    <w:p w14:paraId="53A803C2" w14:textId="1C51500C" w:rsidR="00006E36" w:rsidRPr="00C54A15" w:rsidRDefault="00006E36" w:rsidP="00006E36">
      <w:pPr>
        <w:pStyle w:val="ListParagraph"/>
        <w:numPr>
          <w:ilvl w:val="0"/>
          <w:numId w:val="34"/>
        </w:numPr>
        <w:jc w:val="both"/>
        <w:rPr>
          <w:rFonts w:cs="Arial"/>
          <w:noProof w:val="0"/>
        </w:rPr>
      </w:pPr>
      <w:r w:rsidRPr="00C54A15">
        <w:rPr>
          <w:rFonts w:cs="Arial"/>
          <w:noProof w:val="0"/>
        </w:rPr>
        <w:t>Utilize all commercially reasonable efforts to operate in compliance with Environmental, Social, and Governance (ESG) principles and best practices, including the development of sustainable products and services, respect for human rights, promotion of diversity, and transparent management practices</w:t>
      </w:r>
      <w:r w:rsidR="00AB495C" w:rsidRPr="00C54A15">
        <w:rPr>
          <w:rFonts w:cs="Arial"/>
          <w:noProof w:val="0"/>
        </w:rPr>
        <w:t>;</w:t>
      </w:r>
    </w:p>
    <w:p w14:paraId="2C5CBF7B" w14:textId="019C3333" w:rsidR="00006E36" w:rsidRPr="00C54A15" w:rsidRDefault="00AC7C86" w:rsidP="00006E36">
      <w:pPr>
        <w:pStyle w:val="ListParagraph"/>
        <w:numPr>
          <w:ilvl w:val="0"/>
          <w:numId w:val="34"/>
        </w:numPr>
        <w:jc w:val="both"/>
        <w:rPr>
          <w:rFonts w:cs="Arial"/>
          <w:noProof w:val="0"/>
        </w:rPr>
      </w:pPr>
      <w:r w:rsidRPr="00C54A15">
        <w:rPr>
          <w:rFonts w:cs="Arial"/>
          <w:noProof w:val="0"/>
        </w:rPr>
        <w:t xml:space="preserve">To monitor and manage portfolio company ESG performance following an investment, Jolt Capital annually collects ESG Key Performance Indicator (“KPI”) data from all portfolio companies </w:t>
      </w:r>
      <w:r w:rsidR="00006E36" w:rsidRPr="00C54A15">
        <w:rPr>
          <w:rFonts w:cs="Arial"/>
          <w:noProof w:val="0"/>
        </w:rPr>
        <w:t xml:space="preserve">and its subsidiaries, </w:t>
      </w:r>
      <w:r w:rsidRPr="00C54A15">
        <w:rPr>
          <w:rFonts w:cs="Arial"/>
          <w:noProof w:val="0"/>
        </w:rPr>
        <w:t xml:space="preserve">this is also extended to </w:t>
      </w:r>
      <w:r w:rsidR="00006E36" w:rsidRPr="00C54A15">
        <w:rPr>
          <w:rFonts w:cs="Arial"/>
          <w:noProof w:val="0"/>
        </w:rPr>
        <w:t>includ</w:t>
      </w:r>
      <w:r w:rsidRPr="00C54A15">
        <w:rPr>
          <w:rFonts w:cs="Arial"/>
          <w:noProof w:val="0"/>
        </w:rPr>
        <w:t>e</w:t>
      </w:r>
      <w:r w:rsidR="00006E36" w:rsidRPr="00C54A15">
        <w:rPr>
          <w:rFonts w:cs="Arial"/>
          <w:noProof w:val="0"/>
        </w:rPr>
        <w:t xml:space="preserve"> the disclosure of key ESG indicators upon request</w:t>
      </w:r>
      <w:r w:rsidR="00AB495C" w:rsidRPr="00C54A15">
        <w:rPr>
          <w:rFonts w:cs="Arial"/>
          <w:noProof w:val="0"/>
        </w:rPr>
        <w:t>;</w:t>
      </w:r>
    </w:p>
    <w:p w14:paraId="689B8A01" w14:textId="122A9A9D" w:rsidR="00006E36" w:rsidRPr="00C54A15" w:rsidRDefault="00006E36" w:rsidP="00006E36">
      <w:pPr>
        <w:pStyle w:val="ListParagraph"/>
        <w:numPr>
          <w:ilvl w:val="0"/>
          <w:numId w:val="34"/>
        </w:numPr>
        <w:jc w:val="both"/>
        <w:rPr>
          <w:rFonts w:cs="Arial"/>
          <w:noProof w:val="0"/>
        </w:rPr>
      </w:pPr>
      <w:r w:rsidRPr="00C54A15">
        <w:rPr>
          <w:rFonts w:cs="Arial"/>
          <w:noProof w:val="0"/>
        </w:rPr>
        <w:t>Immediately notify us of any event that could potentially create a material breach of commonly accepted ESG criteria and social and environmental laws and regulations in the company’s countries of operation. This notification should include an overview of the nature of the relevant event, the material impacts or potential material impacts arising from the relevant event, and any measures taken or planned to be taken to address the identified material impacts or prevent the recurrence of the relevant event.</w:t>
      </w:r>
    </w:p>
    <w:p w14:paraId="46117D9E" w14:textId="77777777" w:rsidR="00146E70" w:rsidRPr="00C54A15" w:rsidRDefault="00400D08" w:rsidP="00006E36">
      <w:pPr>
        <w:jc w:val="both"/>
        <w:rPr>
          <w:rFonts w:cs="Arial"/>
          <w:noProof w:val="0"/>
        </w:rPr>
      </w:pPr>
      <w:r w:rsidRPr="00C54A15">
        <w:rPr>
          <w:rFonts w:cs="Arial"/>
          <w:noProof w:val="0"/>
        </w:rPr>
        <w:t>Jolt Capital's reporting framework covers a range of environmental, social, governance, business, and ethics indicators, including the information needed to be able to compute the principal adverse impacts (PAIs).</w:t>
      </w:r>
      <w:r w:rsidR="00146E70" w:rsidRPr="00C54A15">
        <w:rPr>
          <w:rFonts w:cs="Arial"/>
          <w:noProof w:val="0"/>
        </w:rPr>
        <w:t xml:space="preserve"> </w:t>
      </w:r>
    </w:p>
    <w:p w14:paraId="02AA20E0" w14:textId="27379E35" w:rsidR="00400D08" w:rsidRPr="00C54A15" w:rsidRDefault="00A14264" w:rsidP="00006E36">
      <w:pPr>
        <w:jc w:val="both"/>
        <w:rPr>
          <w:rFonts w:cs="Arial"/>
          <w:noProof w:val="0"/>
        </w:rPr>
      </w:pPr>
      <w:r w:rsidRPr="00C54A15">
        <w:rPr>
          <w:rFonts w:cs="Arial"/>
          <w:noProof w:val="0"/>
        </w:rPr>
        <w:t xml:space="preserve">We promote </w:t>
      </w:r>
      <w:r w:rsidR="00827D31" w:rsidRPr="00C54A15">
        <w:rPr>
          <w:rFonts w:cs="Arial"/>
          <w:noProof w:val="0"/>
        </w:rPr>
        <w:t>regular dialogue</w:t>
      </w:r>
      <w:r w:rsidR="00146E70" w:rsidRPr="00C54A15">
        <w:rPr>
          <w:rFonts w:cs="Arial"/>
          <w:noProof w:val="0"/>
        </w:rPr>
        <w:t xml:space="preserve"> with the individuals in charge of sustainability at a company level</w:t>
      </w:r>
      <w:r w:rsidR="00827D31" w:rsidRPr="00C54A15">
        <w:rPr>
          <w:rFonts w:cs="Arial"/>
          <w:noProof w:val="0"/>
        </w:rPr>
        <w:t xml:space="preserve">, </w:t>
      </w:r>
      <w:r w:rsidRPr="00C54A15">
        <w:rPr>
          <w:rFonts w:cs="Arial"/>
          <w:noProof w:val="0"/>
        </w:rPr>
        <w:t>to</w:t>
      </w:r>
      <w:r w:rsidR="00827D31" w:rsidRPr="00C54A15">
        <w:rPr>
          <w:rFonts w:cs="Arial"/>
          <w:noProof w:val="0"/>
        </w:rPr>
        <w:t xml:space="preserve"> ensure that </w:t>
      </w:r>
      <w:r w:rsidR="00146E70" w:rsidRPr="00C54A15">
        <w:rPr>
          <w:rFonts w:cs="Arial"/>
          <w:noProof w:val="0"/>
        </w:rPr>
        <w:t xml:space="preserve">the companies are </w:t>
      </w:r>
      <w:r w:rsidR="00C54A15" w:rsidRPr="00C54A15">
        <w:rPr>
          <w:rFonts w:cs="Arial"/>
          <w:noProof w:val="0"/>
        </w:rPr>
        <w:t>continuously</w:t>
      </w:r>
      <w:r w:rsidRPr="00C54A15">
        <w:rPr>
          <w:rFonts w:cs="Arial"/>
          <w:noProof w:val="0"/>
        </w:rPr>
        <w:t xml:space="preserve"> </w:t>
      </w:r>
      <w:r w:rsidR="00146E70" w:rsidRPr="00C54A15">
        <w:rPr>
          <w:rFonts w:cs="Arial"/>
          <w:noProof w:val="0"/>
        </w:rPr>
        <w:t xml:space="preserve">trained </w:t>
      </w:r>
      <w:r w:rsidRPr="00C54A15">
        <w:rPr>
          <w:rFonts w:cs="Arial"/>
          <w:noProof w:val="0"/>
        </w:rPr>
        <w:t>and aware of Jolt Capital’s ESG commitments and our</w:t>
      </w:r>
      <w:r w:rsidR="00146E70" w:rsidRPr="00C54A15">
        <w:rPr>
          <w:rFonts w:cs="Arial"/>
          <w:noProof w:val="0"/>
        </w:rPr>
        <w:t xml:space="preserve"> reporting framework provided by Jolt Capital. </w:t>
      </w:r>
      <w:r w:rsidR="00B26215" w:rsidRPr="00C54A15">
        <w:rPr>
          <w:rFonts w:cs="Arial"/>
          <w:noProof w:val="0"/>
        </w:rPr>
        <w:t>The result of this framework, results in our</w:t>
      </w:r>
      <w:r w:rsidR="00146E70" w:rsidRPr="00C54A15">
        <w:rPr>
          <w:rFonts w:cs="Arial"/>
          <w:noProof w:val="0"/>
        </w:rPr>
        <w:t xml:space="preserve"> annual ESG report consolidating all the data collected from each company</w:t>
      </w:r>
      <w:r w:rsidR="00B26215" w:rsidRPr="00C54A15">
        <w:rPr>
          <w:rFonts w:cs="Arial"/>
          <w:noProof w:val="0"/>
        </w:rPr>
        <w:t xml:space="preserve">, allowing us to measure the integration of ESG into the companies’ business models. </w:t>
      </w:r>
    </w:p>
    <w:p w14:paraId="4EBFBDA9" w14:textId="4EBA211F" w:rsidR="00006E36" w:rsidRPr="00C54A15" w:rsidRDefault="00B26215" w:rsidP="00006E36">
      <w:pPr>
        <w:jc w:val="both"/>
        <w:rPr>
          <w:rFonts w:cs="Arial"/>
          <w:noProof w:val="0"/>
        </w:rPr>
      </w:pPr>
      <w:r w:rsidRPr="00C54A15">
        <w:rPr>
          <w:rFonts w:cs="Arial"/>
          <w:noProof w:val="0"/>
        </w:rPr>
        <w:t xml:space="preserve">In respect of </w:t>
      </w:r>
      <w:r w:rsidR="00006E36" w:rsidRPr="00C54A15">
        <w:rPr>
          <w:rFonts w:cs="Arial"/>
          <w:noProof w:val="0"/>
        </w:rPr>
        <w:t xml:space="preserve">the environmental impact of our portfolio companies, we </w:t>
      </w:r>
      <w:r w:rsidRPr="00C54A15">
        <w:rPr>
          <w:rFonts w:cs="Arial"/>
          <w:noProof w:val="0"/>
        </w:rPr>
        <w:t xml:space="preserve">continuously </w:t>
      </w:r>
      <w:r w:rsidR="00006E36" w:rsidRPr="00C54A15">
        <w:rPr>
          <w:rFonts w:cs="Arial"/>
          <w:noProof w:val="0"/>
        </w:rPr>
        <w:t>urge the</w:t>
      </w:r>
      <w:r w:rsidRPr="00C54A15">
        <w:rPr>
          <w:rFonts w:cs="Arial"/>
          <w:noProof w:val="0"/>
        </w:rPr>
        <w:t xml:space="preserve"> </w:t>
      </w:r>
      <w:r w:rsidR="00006E36" w:rsidRPr="00C54A15">
        <w:rPr>
          <w:rFonts w:cs="Arial"/>
          <w:noProof w:val="0"/>
        </w:rPr>
        <w:t xml:space="preserve">management to develop </w:t>
      </w:r>
      <w:r w:rsidRPr="00C54A15">
        <w:rPr>
          <w:rFonts w:cs="Arial"/>
          <w:noProof w:val="0"/>
        </w:rPr>
        <w:t xml:space="preserve">tailored </w:t>
      </w:r>
      <w:r w:rsidR="00006E36" w:rsidRPr="00C54A15">
        <w:rPr>
          <w:rFonts w:cs="Arial"/>
          <w:noProof w:val="0"/>
        </w:rPr>
        <w:t xml:space="preserve">Key Performance Indicators (KPIs) and report them to us. Companies </w:t>
      </w:r>
      <w:r w:rsidRPr="00C54A15">
        <w:rPr>
          <w:rFonts w:cs="Arial"/>
          <w:noProof w:val="0"/>
        </w:rPr>
        <w:t xml:space="preserve">are also required to </w:t>
      </w:r>
      <w:r w:rsidR="00006E36" w:rsidRPr="00C54A15">
        <w:rPr>
          <w:rFonts w:cs="Arial"/>
          <w:noProof w:val="0"/>
        </w:rPr>
        <w:t>immediately</w:t>
      </w:r>
      <w:r w:rsidRPr="00C54A15">
        <w:rPr>
          <w:rFonts w:cs="Arial"/>
          <w:noProof w:val="0"/>
        </w:rPr>
        <w:t xml:space="preserve"> inform us</w:t>
      </w:r>
      <w:r w:rsidR="00006E36" w:rsidRPr="00C54A15">
        <w:rPr>
          <w:rFonts w:cs="Arial"/>
          <w:noProof w:val="0"/>
        </w:rPr>
        <w:t xml:space="preserve"> of any incidents that </w:t>
      </w:r>
      <w:r w:rsidRPr="00C54A15">
        <w:rPr>
          <w:rFonts w:cs="Arial"/>
          <w:noProof w:val="0"/>
        </w:rPr>
        <w:t xml:space="preserve">may </w:t>
      </w:r>
      <w:r w:rsidR="00006E36" w:rsidRPr="00C54A15">
        <w:rPr>
          <w:rFonts w:cs="Arial"/>
          <w:noProof w:val="0"/>
        </w:rPr>
        <w:t xml:space="preserve">have a significant environmental impact. We place special emphasis on climate-related issues and require our portfolio companies to provide us with all indicators necessary for assessing our portfolio’s carbon footprint and </w:t>
      </w:r>
      <w:r w:rsidR="00C54A15" w:rsidRPr="00C54A15">
        <w:rPr>
          <w:rFonts w:cs="Arial"/>
          <w:noProof w:val="0"/>
        </w:rPr>
        <w:t>analysing</w:t>
      </w:r>
      <w:r w:rsidR="00006E36" w:rsidRPr="00C54A15">
        <w:rPr>
          <w:rFonts w:cs="Arial"/>
          <w:noProof w:val="0"/>
        </w:rPr>
        <w:t xml:space="preserve"> climate-related risks and opportunities. </w:t>
      </w:r>
    </w:p>
    <w:p w14:paraId="071E5FD6" w14:textId="1B8113B9" w:rsidR="00006E36" w:rsidRPr="00C54A15" w:rsidRDefault="00B26215" w:rsidP="00006E36">
      <w:pPr>
        <w:jc w:val="both"/>
        <w:rPr>
          <w:rFonts w:cs="Arial"/>
          <w:noProof w:val="0"/>
        </w:rPr>
      </w:pPr>
      <w:r w:rsidRPr="00C54A15">
        <w:rPr>
          <w:rFonts w:cs="Arial"/>
          <w:noProof w:val="0"/>
        </w:rPr>
        <w:t>On</w:t>
      </w:r>
      <w:r w:rsidR="00006E36" w:rsidRPr="00C54A15">
        <w:rPr>
          <w:rFonts w:cs="Arial"/>
          <w:noProof w:val="0"/>
        </w:rPr>
        <w:t xml:space="preserve"> social issues, we ensure that our portfolio companies respect human rights laws and do not engage in forced </w:t>
      </w:r>
      <w:r w:rsidR="00C54A15" w:rsidRPr="00C54A15">
        <w:rPr>
          <w:rFonts w:cs="Arial"/>
          <w:noProof w:val="0"/>
        </w:rPr>
        <w:t>labour</w:t>
      </w:r>
      <w:r w:rsidR="00006E36" w:rsidRPr="00C54A15">
        <w:rPr>
          <w:rFonts w:cs="Arial"/>
          <w:noProof w:val="0"/>
        </w:rPr>
        <w:t xml:space="preserve"> or child </w:t>
      </w:r>
      <w:r w:rsidR="00C54A15" w:rsidRPr="00C54A15">
        <w:rPr>
          <w:rFonts w:cs="Arial"/>
          <w:noProof w:val="0"/>
        </w:rPr>
        <w:t>labour</w:t>
      </w:r>
      <w:r w:rsidR="00006E36" w:rsidRPr="00C54A15">
        <w:rPr>
          <w:rFonts w:cs="Arial"/>
          <w:noProof w:val="0"/>
        </w:rPr>
        <w:t xml:space="preserve">, including through their subcontractors. We also request the management of our portfolio companies report </w:t>
      </w:r>
      <w:r w:rsidRPr="00C54A15">
        <w:rPr>
          <w:rFonts w:cs="Arial"/>
          <w:noProof w:val="0"/>
        </w:rPr>
        <w:t xml:space="preserve">to us </w:t>
      </w:r>
      <w:r w:rsidR="00006E36" w:rsidRPr="00C54A15">
        <w:rPr>
          <w:rFonts w:cs="Arial"/>
          <w:noProof w:val="0"/>
        </w:rPr>
        <w:t xml:space="preserve">on </w:t>
      </w:r>
      <w:r w:rsidRPr="00C54A15">
        <w:rPr>
          <w:rFonts w:cs="Arial"/>
          <w:noProof w:val="0"/>
        </w:rPr>
        <w:t xml:space="preserve">any potential </w:t>
      </w:r>
      <w:r w:rsidR="00006E36" w:rsidRPr="00C54A15">
        <w:rPr>
          <w:rFonts w:cs="Arial"/>
          <w:noProof w:val="0"/>
        </w:rPr>
        <w:t>human resource (HR) issues</w:t>
      </w:r>
      <w:r w:rsidRPr="00C54A15">
        <w:rPr>
          <w:rFonts w:cs="Arial"/>
          <w:noProof w:val="0"/>
        </w:rPr>
        <w:t xml:space="preserve"> that may arise</w:t>
      </w:r>
      <w:r w:rsidR="00006E36" w:rsidRPr="00C54A15">
        <w:rPr>
          <w:rFonts w:cs="Arial"/>
          <w:noProof w:val="0"/>
        </w:rPr>
        <w:t xml:space="preserve">, </w:t>
      </w:r>
      <w:r w:rsidRPr="00C54A15">
        <w:rPr>
          <w:rFonts w:cs="Arial"/>
          <w:noProof w:val="0"/>
        </w:rPr>
        <w:t>these include</w:t>
      </w:r>
      <w:r w:rsidR="00006E36" w:rsidRPr="00C54A15">
        <w:rPr>
          <w:rFonts w:cs="Arial"/>
          <w:noProof w:val="0"/>
        </w:rPr>
        <w:t xml:space="preserve"> competence development and compensation policies</w:t>
      </w:r>
      <w:r w:rsidRPr="00C54A15">
        <w:rPr>
          <w:rFonts w:cs="Arial"/>
          <w:noProof w:val="0"/>
        </w:rPr>
        <w:t xml:space="preserve"> to name a few</w:t>
      </w:r>
      <w:r w:rsidR="00006E36" w:rsidRPr="00C54A15">
        <w:rPr>
          <w:rFonts w:cs="Arial"/>
          <w:noProof w:val="0"/>
        </w:rPr>
        <w:t>,</w:t>
      </w:r>
      <w:r w:rsidRPr="00C54A15">
        <w:rPr>
          <w:rFonts w:cs="Arial"/>
          <w:noProof w:val="0"/>
        </w:rPr>
        <w:t xml:space="preserve"> we ensure that these topics are raised at </w:t>
      </w:r>
      <w:r w:rsidR="00006E36" w:rsidRPr="00C54A15">
        <w:rPr>
          <w:rFonts w:cs="Arial"/>
          <w:noProof w:val="0"/>
        </w:rPr>
        <w:t xml:space="preserve">every board meeting. In cases of redundancy or restructuring plans, the board must review and approve decisions after conducting a detailed analysis of their social impact. </w:t>
      </w:r>
      <w:r w:rsidRPr="00C54A15">
        <w:rPr>
          <w:rFonts w:cs="Arial"/>
          <w:noProof w:val="0"/>
        </w:rPr>
        <w:t xml:space="preserve">In addition to this, we ensure that independent directors </w:t>
      </w:r>
      <w:r w:rsidR="00006E36" w:rsidRPr="00C54A15">
        <w:rPr>
          <w:rFonts w:cs="Arial"/>
          <w:noProof w:val="0"/>
        </w:rPr>
        <w:t xml:space="preserve">with strong HR expertise </w:t>
      </w:r>
      <w:r w:rsidRPr="00C54A15">
        <w:rPr>
          <w:rFonts w:cs="Arial"/>
          <w:noProof w:val="0"/>
        </w:rPr>
        <w:t xml:space="preserve">are appointed </w:t>
      </w:r>
      <w:r w:rsidR="00006E36" w:rsidRPr="00C54A15">
        <w:rPr>
          <w:rFonts w:cs="Arial"/>
          <w:noProof w:val="0"/>
        </w:rPr>
        <w:t xml:space="preserve">to the boards of our portfolio companies whenever possible. </w:t>
      </w:r>
    </w:p>
    <w:p w14:paraId="258D8ACF" w14:textId="099EEDDA" w:rsidR="00EA2441" w:rsidRPr="00C54A15" w:rsidRDefault="00B26215" w:rsidP="00006E36">
      <w:pPr>
        <w:jc w:val="both"/>
        <w:rPr>
          <w:rFonts w:cs="Arial"/>
          <w:noProof w:val="0"/>
        </w:rPr>
      </w:pPr>
      <w:r w:rsidRPr="00C54A15">
        <w:rPr>
          <w:rFonts w:cs="Arial"/>
          <w:noProof w:val="0"/>
        </w:rPr>
        <w:t xml:space="preserve">On </w:t>
      </w:r>
      <w:r w:rsidR="00006E36" w:rsidRPr="00C54A15">
        <w:rPr>
          <w:rFonts w:cs="Arial"/>
          <w:noProof w:val="0"/>
        </w:rPr>
        <w:t xml:space="preserve">governance aspects, we </w:t>
      </w:r>
      <w:r w:rsidRPr="00C54A15">
        <w:rPr>
          <w:rFonts w:cs="Arial"/>
          <w:noProof w:val="0"/>
        </w:rPr>
        <w:t>will always</w:t>
      </w:r>
      <w:r w:rsidR="00006E36" w:rsidRPr="00C54A15">
        <w:rPr>
          <w:rFonts w:cs="Arial"/>
          <w:noProof w:val="0"/>
        </w:rPr>
        <w:t xml:space="preserve"> participate in the governance bodies of our portfolio companies for the duration of our investment to closely monitor and influence their operations and practices, which also reinforces sound governance practices and increases visibility on the social and environmental dimensions of the companies' activities. We also request our portfolio companies to refer to ethics or deontological codes, such as Middlenext for French companies. Our investment contracts and resulting shareholder agreements strengthen the board of directors’ decision-making and control power, and</w:t>
      </w:r>
      <w:r w:rsidRPr="00C54A15">
        <w:rPr>
          <w:rFonts w:cs="Arial"/>
          <w:noProof w:val="0"/>
        </w:rPr>
        <w:t xml:space="preserve"> </w:t>
      </w:r>
      <w:r w:rsidR="00006E36" w:rsidRPr="00C54A15">
        <w:rPr>
          <w:rFonts w:cs="Arial"/>
          <w:noProof w:val="0"/>
        </w:rPr>
        <w:t xml:space="preserve">we require the appointment of independent directors </w:t>
      </w:r>
      <w:r w:rsidRPr="00C54A15">
        <w:rPr>
          <w:rFonts w:cs="Arial"/>
          <w:noProof w:val="0"/>
        </w:rPr>
        <w:t xml:space="preserve">with reputable backgrounds and industry knowledge be </w:t>
      </w:r>
      <w:r w:rsidR="00C54A15" w:rsidRPr="00C54A15">
        <w:rPr>
          <w:rFonts w:cs="Arial"/>
          <w:noProof w:val="0"/>
        </w:rPr>
        <w:t>appointed</w:t>
      </w:r>
      <w:r w:rsidRPr="00C54A15">
        <w:rPr>
          <w:rFonts w:cs="Arial"/>
          <w:noProof w:val="0"/>
        </w:rPr>
        <w:t xml:space="preserve"> </w:t>
      </w:r>
      <w:r w:rsidR="00006E36" w:rsidRPr="00C54A15">
        <w:rPr>
          <w:rFonts w:cs="Arial"/>
          <w:noProof w:val="0"/>
        </w:rPr>
        <w:t xml:space="preserve">to the Board of Directors. Finally, our investments are also contingent upon the creation or extension of a stock option plan for the </w:t>
      </w:r>
      <w:r w:rsidR="00006E36" w:rsidRPr="00C54A15">
        <w:rPr>
          <w:rFonts w:cs="Arial"/>
          <w:noProof w:val="0"/>
        </w:rPr>
        <w:lastRenderedPageBreak/>
        <w:t>benefit of executives and key talents, allowing the company to share the value created more effectively.</w:t>
      </w:r>
    </w:p>
    <w:p w14:paraId="6ACC2BAC" w14:textId="77777777" w:rsidR="00400D08" w:rsidRPr="00C54A15" w:rsidRDefault="00400D08" w:rsidP="00006E36">
      <w:pPr>
        <w:jc w:val="both"/>
        <w:rPr>
          <w:rFonts w:cs="Arial"/>
          <w:noProof w:val="0"/>
        </w:rPr>
      </w:pPr>
    </w:p>
    <w:p w14:paraId="4212E64A" w14:textId="77777777" w:rsidR="00EA2441" w:rsidRPr="00C54A15" w:rsidRDefault="00EA2441" w:rsidP="00EA2441">
      <w:pPr>
        <w:jc w:val="both"/>
        <w:rPr>
          <w:rFonts w:cs="Arial"/>
          <w:b/>
          <w:bCs/>
          <w:noProof w:val="0"/>
        </w:rPr>
      </w:pPr>
      <w:r w:rsidRPr="00C54A15">
        <w:rPr>
          <w:rFonts w:cs="Arial"/>
          <w:b/>
          <w:bCs/>
          <w:noProof w:val="0"/>
        </w:rPr>
        <w:t>Exit phase</w:t>
      </w:r>
    </w:p>
    <w:p w14:paraId="332E3869" w14:textId="4ED4D323" w:rsidR="00EA2441" w:rsidRPr="00C54A15" w:rsidRDefault="00AB495C" w:rsidP="00006E36">
      <w:pPr>
        <w:jc w:val="both"/>
        <w:rPr>
          <w:rFonts w:cs="Arial"/>
          <w:noProof w:val="0"/>
        </w:rPr>
      </w:pPr>
      <w:r w:rsidRPr="00C54A15">
        <w:rPr>
          <w:noProof w:val="0"/>
        </w:rPr>
        <w:t>When</w:t>
      </w:r>
      <w:r w:rsidR="00006E36" w:rsidRPr="00C54A15">
        <w:rPr>
          <w:noProof w:val="0"/>
        </w:rPr>
        <w:t xml:space="preserve"> proceed</w:t>
      </w:r>
      <w:r w:rsidRPr="00C54A15">
        <w:rPr>
          <w:noProof w:val="0"/>
        </w:rPr>
        <w:t>ing</w:t>
      </w:r>
      <w:r w:rsidR="00006E36" w:rsidRPr="00C54A15">
        <w:rPr>
          <w:noProof w:val="0"/>
        </w:rPr>
        <w:t xml:space="preserve"> with the divestment of a portfolio company, our approach involves emphasizing the ESG maturity of the company and its potential for future growth through the creation of an ESG-specific memorandum or conducting an ESG Vendor Due Diligence, as deemed appropriate. Furthermore, we prioritize the preservation of the company's mission and entrepreneurial spirit of its management teams by ensuring continuity in management during the exit process.</w:t>
      </w:r>
    </w:p>
    <w:p w14:paraId="2B31CFEF" w14:textId="77777777" w:rsidR="00DF189B" w:rsidRPr="00C54A15" w:rsidRDefault="00DF189B" w:rsidP="00DF189B">
      <w:pPr>
        <w:pStyle w:val="ListParagraph"/>
        <w:jc w:val="both"/>
        <w:rPr>
          <w:rFonts w:cs="Arial"/>
          <w:noProof w:val="0"/>
        </w:rPr>
      </w:pPr>
    </w:p>
    <w:p w14:paraId="791AB91B" w14:textId="77777777" w:rsidR="00DF189B" w:rsidRPr="00C54A15" w:rsidRDefault="00DF189B" w:rsidP="00DF189B">
      <w:pPr>
        <w:keepNext/>
        <w:jc w:val="both"/>
        <w:rPr>
          <w:noProof w:val="0"/>
        </w:rPr>
      </w:pPr>
      <w:r w:rsidRPr="00C54A15">
        <w:drawing>
          <wp:inline distT="0" distB="0" distL="0" distR="0" wp14:anchorId="7BECA16F" wp14:editId="5B4CD8BC">
            <wp:extent cx="6270760" cy="3033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rcRect t="1660" b="1660"/>
                    <a:stretch>
                      <a:fillRect/>
                    </a:stretch>
                  </pic:blipFill>
                  <pic:spPr bwMode="auto">
                    <a:xfrm>
                      <a:off x="0" y="0"/>
                      <a:ext cx="6270760" cy="3033770"/>
                    </a:xfrm>
                    <a:prstGeom prst="rect">
                      <a:avLst/>
                    </a:prstGeom>
                    <a:ln>
                      <a:noFill/>
                    </a:ln>
                    <a:extLst>
                      <a:ext uri="{53640926-AAD7-44D8-BBD7-CCE9431645EC}">
                        <a14:shadowObscured xmlns:a14="http://schemas.microsoft.com/office/drawing/2010/main"/>
                      </a:ext>
                    </a:extLst>
                  </pic:spPr>
                </pic:pic>
              </a:graphicData>
            </a:graphic>
          </wp:inline>
        </w:drawing>
      </w:r>
    </w:p>
    <w:p w14:paraId="77CF34A1" w14:textId="6ED1BE4A" w:rsidR="00DF189B" w:rsidRPr="00C54A15" w:rsidRDefault="00DF189B" w:rsidP="00DF189B">
      <w:pPr>
        <w:pStyle w:val="Caption"/>
        <w:jc w:val="center"/>
        <w:rPr>
          <w:rFonts w:cs="Arial"/>
          <w:noProof w:val="0"/>
        </w:rPr>
      </w:pPr>
      <w:r w:rsidRPr="00C54A15">
        <w:rPr>
          <w:noProof w:val="0"/>
        </w:rPr>
        <w:t xml:space="preserve">Figure </w:t>
      </w:r>
      <w:r w:rsidRPr="00C54A15">
        <w:rPr>
          <w:noProof w:val="0"/>
        </w:rPr>
        <w:fldChar w:fldCharType="begin"/>
      </w:r>
      <w:r w:rsidRPr="00C54A15">
        <w:rPr>
          <w:noProof w:val="0"/>
        </w:rPr>
        <w:instrText xml:space="preserve"> SEQ Figure \* ARABIC </w:instrText>
      </w:r>
      <w:r w:rsidRPr="00C54A15">
        <w:rPr>
          <w:noProof w:val="0"/>
        </w:rPr>
        <w:fldChar w:fldCharType="separate"/>
      </w:r>
      <w:r w:rsidR="004C4669" w:rsidRPr="00C54A15">
        <w:rPr>
          <w:noProof w:val="0"/>
        </w:rPr>
        <w:t>1</w:t>
      </w:r>
      <w:r w:rsidRPr="00C54A15">
        <w:rPr>
          <w:noProof w:val="0"/>
        </w:rPr>
        <w:fldChar w:fldCharType="end"/>
      </w:r>
      <w:r w:rsidRPr="00C54A15">
        <w:rPr>
          <w:noProof w:val="0"/>
        </w:rPr>
        <w:t>: Integration of ESG in Jolt Capital's investment cycle</w:t>
      </w:r>
    </w:p>
    <w:p w14:paraId="71509C65" w14:textId="77777777" w:rsidR="00EA2441" w:rsidRPr="00C54A15" w:rsidRDefault="00EA2441" w:rsidP="00EA2441">
      <w:pPr>
        <w:rPr>
          <w:noProof w:val="0"/>
        </w:rPr>
      </w:pPr>
    </w:p>
    <w:p w14:paraId="074E6B77" w14:textId="1EE599D6" w:rsidR="3B0E8CFB" w:rsidRPr="00C54A15" w:rsidRDefault="3B0E8CFB" w:rsidP="0055573C">
      <w:pPr>
        <w:pStyle w:val="Heading2"/>
        <w:jc w:val="both"/>
        <w:rPr>
          <w:rFonts w:cs="Arial"/>
          <w:noProof w:val="0"/>
        </w:rPr>
      </w:pPr>
      <w:r w:rsidRPr="00C54A15">
        <w:rPr>
          <w:rFonts w:cs="Arial"/>
          <w:noProof w:val="0"/>
        </w:rPr>
        <w:t xml:space="preserve">ESG industry associations </w:t>
      </w:r>
    </w:p>
    <w:p w14:paraId="0ABE6A28" w14:textId="3DEC18EB" w:rsidR="00706D76" w:rsidRPr="00C54A15" w:rsidRDefault="004246C4" w:rsidP="0055573C">
      <w:pPr>
        <w:jc w:val="both"/>
        <w:rPr>
          <w:rFonts w:cs="Arial"/>
          <w:noProof w:val="0"/>
        </w:rPr>
      </w:pPr>
      <w:r w:rsidRPr="00C54A15">
        <w:drawing>
          <wp:inline distT="0" distB="0" distL="0" distR="0" wp14:anchorId="43868610" wp14:editId="6DC8D224">
            <wp:extent cx="1860353" cy="719455"/>
            <wp:effectExtent l="0" t="0" r="6985" b="4445"/>
            <wp:docPr id="1" name="Picture 1" descr="UN PRI – Prime Capital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RI – Prime Capital A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386"/>
                    <a:stretch/>
                  </pic:blipFill>
                  <pic:spPr bwMode="auto">
                    <a:xfrm>
                      <a:off x="0" y="0"/>
                      <a:ext cx="1861762"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08FF5134" w14:textId="7FC3847B" w:rsidR="00706D76" w:rsidRPr="00C54A15" w:rsidRDefault="00706D76" w:rsidP="0055573C">
      <w:pPr>
        <w:jc w:val="both"/>
        <w:rPr>
          <w:rFonts w:cs="Arial"/>
          <w:noProof w:val="0"/>
        </w:rPr>
      </w:pPr>
      <w:r w:rsidRPr="00C54A15">
        <w:rPr>
          <w:rFonts w:cs="Arial"/>
          <w:noProof w:val="0"/>
        </w:rPr>
        <w:t xml:space="preserve">Our approach as a responsible investor is materialized by our commitment to the </w:t>
      </w:r>
      <w:r w:rsidRPr="00C54A15">
        <w:rPr>
          <w:rFonts w:cs="Arial"/>
          <w:b/>
          <w:bCs/>
          <w:noProof w:val="0"/>
        </w:rPr>
        <w:t>United Nations’ Principles for Responsible Investment</w:t>
      </w:r>
      <w:r w:rsidRPr="00C54A15">
        <w:rPr>
          <w:rFonts w:cs="Arial"/>
          <w:noProof w:val="0"/>
        </w:rPr>
        <w:t>, the largest global reporting instrument on responsible investment. Jolt Capital became a UNPRI signatory in November 2020.</w:t>
      </w:r>
    </w:p>
    <w:p w14:paraId="66AF711C" w14:textId="77777777" w:rsidR="004246C4" w:rsidRPr="00C54A15" w:rsidRDefault="004246C4" w:rsidP="0055573C">
      <w:pPr>
        <w:jc w:val="both"/>
        <w:rPr>
          <w:rFonts w:cs="Arial"/>
          <w:noProof w:val="0"/>
        </w:rPr>
      </w:pPr>
    </w:p>
    <w:p w14:paraId="6E5E4C4F" w14:textId="79E4784E" w:rsidR="004246C4" w:rsidRPr="00C54A15" w:rsidRDefault="004246C4" w:rsidP="0055573C">
      <w:pPr>
        <w:jc w:val="both"/>
        <w:rPr>
          <w:rFonts w:cs="Arial"/>
          <w:noProof w:val="0"/>
        </w:rPr>
      </w:pPr>
      <w:r w:rsidRPr="00C54A15">
        <w:drawing>
          <wp:inline distT="0" distB="0" distL="0" distR="0" wp14:anchorId="16AE5E75" wp14:editId="2DEF5BF6">
            <wp:extent cx="1649848" cy="720000"/>
            <wp:effectExtent l="0" t="0" r="0" b="0"/>
            <wp:docPr id="2" name="Picture 2" descr="HOMEPAGE | France 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AGE | France Inv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9848" cy="720000"/>
                    </a:xfrm>
                    <a:prstGeom prst="rect">
                      <a:avLst/>
                    </a:prstGeom>
                    <a:noFill/>
                    <a:ln>
                      <a:noFill/>
                    </a:ln>
                  </pic:spPr>
                </pic:pic>
              </a:graphicData>
            </a:graphic>
          </wp:inline>
        </w:drawing>
      </w:r>
    </w:p>
    <w:p w14:paraId="2FBE55D2" w14:textId="40EE40B2" w:rsidR="009A6044" w:rsidRPr="00C54A15" w:rsidRDefault="00706D76" w:rsidP="009A6044">
      <w:pPr>
        <w:jc w:val="both"/>
        <w:rPr>
          <w:rFonts w:cs="Arial"/>
          <w:noProof w:val="0"/>
        </w:rPr>
      </w:pPr>
      <w:r w:rsidRPr="00C54A15">
        <w:rPr>
          <w:rFonts w:cs="Arial"/>
          <w:noProof w:val="0"/>
        </w:rPr>
        <w:lastRenderedPageBreak/>
        <w:t xml:space="preserve">Jolt Capital is also a member of </w:t>
      </w:r>
      <w:r w:rsidRPr="00C54A15">
        <w:rPr>
          <w:rFonts w:cs="Arial"/>
          <w:b/>
          <w:bCs/>
          <w:noProof w:val="0"/>
        </w:rPr>
        <w:t>France Invest</w:t>
      </w:r>
      <w:r w:rsidRPr="00C54A15">
        <w:rPr>
          <w:rFonts w:cs="Arial"/>
          <w:noProof w:val="0"/>
        </w:rPr>
        <w:t>, a professional organisation bringing together nearly 400 French management companies and nearly 180 advisor firms.</w:t>
      </w:r>
    </w:p>
    <w:p w14:paraId="0F34CD51" w14:textId="331535D3" w:rsidR="00860B75" w:rsidRPr="00C54A15" w:rsidRDefault="00860B75" w:rsidP="009A6044">
      <w:pPr>
        <w:jc w:val="both"/>
        <w:rPr>
          <w:rFonts w:cs="Arial"/>
          <w:noProof w:val="0"/>
        </w:rPr>
      </w:pPr>
    </w:p>
    <w:p w14:paraId="4FBE9CA5" w14:textId="1A7470DA" w:rsidR="004713C2" w:rsidRPr="00C54A15" w:rsidRDefault="004713C2" w:rsidP="009A6044">
      <w:pPr>
        <w:jc w:val="both"/>
        <w:rPr>
          <w:rFonts w:cs="Arial"/>
          <w:noProof w:val="0"/>
        </w:rPr>
      </w:pPr>
      <w:r w:rsidRPr="00C54A15">
        <w:drawing>
          <wp:inline distT="0" distB="0" distL="0" distR="0" wp14:anchorId="1C982481" wp14:editId="7CA532C4">
            <wp:extent cx="1185130" cy="720000"/>
            <wp:effectExtent l="0" t="0" r="0" b="4445"/>
            <wp:docPr id="4" name="Picture 4" descr="Ministère de l'Économie et des Finances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ère de l'Économie et des Finances (France) — Wikipé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5130" cy="720000"/>
                    </a:xfrm>
                    <a:prstGeom prst="rect">
                      <a:avLst/>
                    </a:prstGeom>
                    <a:noFill/>
                    <a:ln>
                      <a:noFill/>
                    </a:ln>
                  </pic:spPr>
                </pic:pic>
              </a:graphicData>
            </a:graphic>
          </wp:inline>
        </w:drawing>
      </w:r>
    </w:p>
    <w:p w14:paraId="1FE5AD17" w14:textId="6E453CE9" w:rsidR="009A6044" w:rsidRPr="00C54A15" w:rsidRDefault="00860B75" w:rsidP="009A6044">
      <w:pPr>
        <w:jc w:val="both"/>
        <w:rPr>
          <w:rFonts w:cs="Arial"/>
          <w:noProof w:val="0"/>
        </w:rPr>
      </w:pPr>
      <w:r w:rsidRPr="00C54A15">
        <w:rPr>
          <w:rFonts w:cs="Arial"/>
          <w:noProof w:val="0"/>
        </w:rPr>
        <w:t xml:space="preserve">In 2021, our Jolt Capital IV fund became </w:t>
      </w:r>
      <w:r w:rsidRPr="00C54A15">
        <w:rPr>
          <w:rFonts w:cs="Arial"/>
          <w:b/>
          <w:bCs/>
          <w:noProof w:val="0"/>
        </w:rPr>
        <w:t>Tibi</w:t>
      </w:r>
      <w:r w:rsidRPr="00C54A15">
        <w:rPr>
          <w:rFonts w:cs="Arial"/>
          <w:noProof w:val="0"/>
        </w:rPr>
        <w:t xml:space="preserve"> </w:t>
      </w:r>
      <w:r w:rsidR="00C54A15" w:rsidRPr="00C54A15">
        <w:rPr>
          <w:rFonts w:cs="Arial"/>
          <w:noProof w:val="0"/>
        </w:rPr>
        <w:t>labelled</w:t>
      </w:r>
      <w:r w:rsidRPr="00C54A15">
        <w:rPr>
          <w:rFonts w:cs="Arial"/>
          <w:noProof w:val="0"/>
        </w:rPr>
        <w:t>. This</w:t>
      </w:r>
      <w:r w:rsidR="004713C2" w:rsidRPr="00C54A15">
        <w:rPr>
          <w:rFonts w:cs="Arial"/>
          <w:noProof w:val="0"/>
        </w:rPr>
        <w:t xml:space="preserve"> initiative was launched in 2020 by the French Ministry of the Economy to promote the financing of technology companies.</w:t>
      </w:r>
    </w:p>
    <w:p w14:paraId="4EEF2CC9" w14:textId="4895E8DF" w:rsidR="000D5FAE" w:rsidRPr="00C54A15" w:rsidRDefault="000D5FAE" w:rsidP="009A6044">
      <w:pPr>
        <w:jc w:val="both"/>
        <w:rPr>
          <w:rFonts w:cs="Arial"/>
          <w:noProof w:val="0"/>
        </w:rPr>
      </w:pPr>
    </w:p>
    <w:p w14:paraId="3A138249" w14:textId="77777777" w:rsidR="000D5FAE" w:rsidRPr="00C54A15" w:rsidRDefault="000D5FAE" w:rsidP="009A6044">
      <w:pPr>
        <w:jc w:val="both"/>
        <w:rPr>
          <w:rFonts w:cs="Arial"/>
          <w:noProof w:val="0"/>
        </w:rPr>
      </w:pPr>
    </w:p>
    <w:p w14:paraId="4A82C468" w14:textId="54EEF507" w:rsidR="001F1636" w:rsidRPr="00C54A15" w:rsidRDefault="001F1636" w:rsidP="00AB495C">
      <w:pPr>
        <w:pStyle w:val="Heading2"/>
        <w:ind w:left="0" w:firstLine="0"/>
        <w:jc w:val="both"/>
        <w:rPr>
          <w:rFonts w:cs="Arial"/>
          <w:noProof w:val="0"/>
        </w:rPr>
      </w:pPr>
      <w:r w:rsidRPr="00C54A15">
        <w:rPr>
          <w:rFonts w:cs="Arial"/>
          <w:noProof w:val="0"/>
        </w:rPr>
        <w:t xml:space="preserve">Communication </w:t>
      </w:r>
      <w:r w:rsidR="00DB1065" w:rsidRPr="00C54A15">
        <w:rPr>
          <w:rFonts w:cs="Arial"/>
          <w:noProof w:val="0"/>
        </w:rPr>
        <w:t>with investors</w:t>
      </w:r>
    </w:p>
    <w:p w14:paraId="7774D859" w14:textId="77777777" w:rsidR="001F1636" w:rsidRPr="00C54A15" w:rsidRDefault="001F1636" w:rsidP="0055573C">
      <w:pPr>
        <w:pStyle w:val="Heading3"/>
        <w:jc w:val="both"/>
        <w:rPr>
          <w:rFonts w:cs="Arial"/>
          <w:i w:val="0"/>
          <w:iCs w:val="0"/>
          <w:noProof w:val="0"/>
        </w:rPr>
      </w:pPr>
      <w:r w:rsidRPr="00C54A15">
        <w:rPr>
          <w:rFonts w:cs="Arial"/>
          <w:i w:val="0"/>
          <w:iCs w:val="0"/>
          <w:noProof w:val="0"/>
        </w:rPr>
        <w:t>Corporate website</w:t>
      </w:r>
    </w:p>
    <w:p w14:paraId="12C60E48" w14:textId="0536C989" w:rsidR="001F1636" w:rsidRPr="00C54A15" w:rsidRDefault="009A6044" w:rsidP="0055573C">
      <w:pPr>
        <w:jc w:val="both"/>
        <w:rPr>
          <w:rFonts w:cs="Arial"/>
          <w:noProof w:val="0"/>
        </w:rPr>
      </w:pPr>
      <w:r w:rsidRPr="00C54A15">
        <w:rPr>
          <w:rFonts w:cs="Arial"/>
          <w:noProof w:val="0"/>
        </w:rPr>
        <w:t xml:space="preserve">Our </w:t>
      </w:r>
      <w:hyperlink r:id="rId16" w:history="1">
        <w:r w:rsidRPr="00C54A15">
          <w:rPr>
            <w:rStyle w:val="Hyperlink"/>
            <w:rFonts w:cs="Arial"/>
            <w:noProof w:val="0"/>
          </w:rPr>
          <w:t>website</w:t>
        </w:r>
      </w:hyperlink>
      <w:r w:rsidRPr="00C54A15">
        <w:rPr>
          <w:rFonts w:cs="Arial"/>
          <w:noProof w:val="0"/>
        </w:rPr>
        <w:t xml:space="preserve"> provides investors and potential investors with useful information on our ESG approach. As well as our ESG Policy, our website contains our Responsible Investment Policy, our latest </w:t>
      </w:r>
      <w:r w:rsidR="0002459A" w:rsidRPr="00C54A15">
        <w:rPr>
          <w:rFonts w:cs="Arial"/>
          <w:noProof w:val="0"/>
        </w:rPr>
        <w:t xml:space="preserve">annual </w:t>
      </w:r>
      <w:r w:rsidRPr="00C54A15">
        <w:rPr>
          <w:rFonts w:cs="Arial"/>
          <w:noProof w:val="0"/>
        </w:rPr>
        <w:t xml:space="preserve">ESG Report, our Shareholder Engagement </w:t>
      </w:r>
      <w:r w:rsidR="00C54A15" w:rsidRPr="00C54A15">
        <w:rPr>
          <w:rFonts w:cs="Arial"/>
          <w:noProof w:val="0"/>
        </w:rPr>
        <w:t>Policy,</w:t>
      </w:r>
      <w:r w:rsidRPr="00C54A15">
        <w:rPr>
          <w:rFonts w:cs="Arial"/>
          <w:noProof w:val="0"/>
        </w:rPr>
        <w:t xml:space="preserve"> and mandatory regulatory disc</w:t>
      </w:r>
      <w:r w:rsidR="000A516F" w:rsidRPr="00C54A15">
        <w:rPr>
          <w:rFonts w:cs="Arial"/>
          <w:noProof w:val="0"/>
        </w:rPr>
        <w:t>l</w:t>
      </w:r>
      <w:r w:rsidRPr="00C54A15">
        <w:rPr>
          <w:rFonts w:cs="Arial"/>
          <w:noProof w:val="0"/>
        </w:rPr>
        <w:t>osures.</w:t>
      </w:r>
      <w:r w:rsidR="004D05CD" w:rsidRPr="00C54A15">
        <w:rPr>
          <w:rFonts w:cs="Arial"/>
          <w:noProof w:val="0"/>
        </w:rPr>
        <w:t xml:space="preserve"> Our Annual ESG Report is publicly available on Jolt Capital's website and is also sent to all Fund investors. In addition, beginning 2023, Jolt Capital will participate in the PRI assessment and the PRI’s transparency reports are also publicly available on the PRI website.</w:t>
      </w:r>
    </w:p>
    <w:p w14:paraId="4A198EFF" w14:textId="77777777" w:rsidR="000D5FAE" w:rsidRPr="00C54A15" w:rsidRDefault="000D5FAE" w:rsidP="0055573C">
      <w:pPr>
        <w:jc w:val="both"/>
        <w:rPr>
          <w:rFonts w:cs="Arial"/>
          <w:noProof w:val="0"/>
        </w:rPr>
      </w:pPr>
    </w:p>
    <w:p w14:paraId="57321E1A" w14:textId="6064E213" w:rsidR="001F1636" w:rsidRPr="00C54A15" w:rsidRDefault="001F1636" w:rsidP="0055573C">
      <w:pPr>
        <w:pStyle w:val="Heading3"/>
        <w:jc w:val="both"/>
        <w:rPr>
          <w:rFonts w:cs="Arial"/>
          <w:i w:val="0"/>
          <w:iCs w:val="0"/>
          <w:noProof w:val="0"/>
        </w:rPr>
      </w:pPr>
      <w:r w:rsidRPr="00C54A15">
        <w:rPr>
          <w:rFonts w:cs="Arial"/>
          <w:i w:val="0"/>
          <w:iCs w:val="0"/>
          <w:noProof w:val="0"/>
        </w:rPr>
        <w:t xml:space="preserve">Communication to </w:t>
      </w:r>
      <w:r w:rsidR="00827D31" w:rsidRPr="00C54A15">
        <w:rPr>
          <w:rFonts w:cs="Arial"/>
          <w:i w:val="0"/>
          <w:iCs w:val="0"/>
          <w:noProof w:val="0"/>
        </w:rPr>
        <w:t>Investors</w:t>
      </w:r>
    </w:p>
    <w:p w14:paraId="62F7D36C" w14:textId="0B6844FC" w:rsidR="00AB495C" w:rsidRPr="00C54A15" w:rsidRDefault="00AB495C" w:rsidP="00B95812">
      <w:pPr>
        <w:pStyle w:val="Heading3"/>
        <w:jc w:val="both"/>
        <w:rPr>
          <w:rFonts w:cs="Arial"/>
          <w:b w:val="0"/>
          <w:bCs w:val="0"/>
          <w:i w:val="0"/>
          <w:iCs w:val="0"/>
          <w:noProof w:val="0"/>
          <w:szCs w:val="19"/>
        </w:rPr>
      </w:pPr>
      <w:r w:rsidRPr="00C54A15">
        <w:rPr>
          <w:rFonts w:cs="Arial"/>
          <w:b w:val="0"/>
          <w:bCs w:val="0"/>
          <w:i w:val="0"/>
          <w:iCs w:val="0"/>
          <w:noProof w:val="0"/>
          <w:szCs w:val="19"/>
        </w:rPr>
        <w:t xml:space="preserve">At </w:t>
      </w:r>
      <w:r w:rsidR="00B95812" w:rsidRPr="00C54A15">
        <w:rPr>
          <w:rFonts w:cs="Arial"/>
          <w:b w:val="0"/>
          <w:bCs w:val="0"/>
          <w:i w:val="0"/>
          <w:iCs w:val="0"/>
          <w:noProof w:val="0"/>
          <w:szCs w:val="19"/>
        </w:rPr>
        <w:t xml:space="preserve">Jolt Capital, </w:t>
      </w:r>
      <w:r w:rsidRPr="00C54A15">
        <w:rPr>
          <w:rFonts w:cs="Arial"/>
          <w:b w:val="0"/>
          <w:bCs w:val="0"/>
          <w:i w:val="0"/>
          <w:iCs w:val="0"/>
          <w:noProof w:val="0"/>
          <w:szCs w:val="19"/>
        </w:rPr>
        <w:t xml:space="preserve">we </w:t>
      </w:r>
      <w:r w:rsidR="00B95812" w:rsidRPr="00C54A15">
        <w:rPr>
          <w:rFonts w:cs="Arial"/>
          <w:b w:val="0"/>
          <w:bCs w:val="0"/>
          <w:i w:val="0"/>
          <w:iCs w:val="0"/>
          <w:noProof w:val="0"/>
          <w:szCs w:val="19"/>
        </w:rPr>
        <w:t xml:space="preserve">engage with </w:t>
      </w:r>
      <w:r w:rsidRPr="00C54A15">
        <w:rPr>
          <w:rFonts w:cs="Arial"/>
          <w:b w:val="0"/>
          <w:bCs w:val="0"/>
          <w:i w:val="0"/>
          <w:iCs w:val="0"/>
          <w:noProof w:val="0"/>
          <w:szCs w:val="19"/>
        </w:rPr>
        <w:t>our</w:t>
      </w:r>
      <w:r w:rsidR="00B95812" w:rsidRPr="00C54A15">
        <w:rPr>
          <w:rFonts w:cs="Arial"/>
          <w:b w:val="0"/>
          <w:bCs w:val="0"/>
          <w:i w:val="0"/>
          <w:iCs w:val="0"/>
          <w:noProof w:val="0"/>
          <w:szCs w:val="19"/>
        </w:rPr>
        <w:t xml:space="preserve"> investors through a diverse range of communication channels. These include the dissemination of annual and quarterly financial reports, conference calls (as required), news releases, and meetings with investors in either a one-on-one or general setting.</w:t>
      </w:r>
      <w:r w:rsidR="00AC7C86" w:rsidRPr="00C54A15">
        <w:rPr>
          <w:rFonts w:cs="Arial"/>
          <w:b w:val="0"/>
          <w:bCs w:val="0"/>
          <w:i w:val="0"/>
          <w:iCs w:val="0"/>
          <w:noProof w:val="0"/>
          <w:szCs w:val="19"/>
        </w:rPr>
        <w:t xml:space="preserve"> </w:t>
      </w:r>
    </w:p>
    <w:p w14:paraId="38FC6C68" w14:textId="1182D37B" w:rsidR="00B95812" w:rsidRPr="00C54A15" w:rsidRDefault="00B95812" w:rsidP="00B95812">
      <w:pPr>
        <w:pStyle w:val="Heading3"/>
        <w:jc w:val="both"/>
        <w:rPr>
          <w:rFonts w:cs="Arial"/>
          <w:b w:val="0"/>
          <w:bCs w:val="0"/>
          <w:i w:val="0"/>
          <w:iCs w:val="0"/>
          <w:noProof w:val="0"/>
          <w:szCs w:val="19"/>
        </w:rPr>
      </w:pPr>
      <w:r w:rsidRPr="00C54A15">
        <w:rPr>
          <w:rFonts w:cs="Arial"/>
          <w:b w:val="0"/>
          <w:bCs w:val="0"/>
          <w:i w:val="0"/>
          <w:iCs w:val="0"/>
          <w:noProof w:val="0"/>
          <w:szCs w:val="19"/>
        </w:rPr>
        <w:t xml:space="preserve">The content of these communications encompasses the disclosure or endorsement of various aspects such as corporate strategy, financial performance, changes in management, and other events related to the management company's operations. </w:t>
      </w:r>
    </w:p>
    <w:p w14:paraId="602A6E16" w14:textId="68394CB3" w:rsidR="00AB495C" w:rsidRPr="00C54A15" w:rsidRDefault="00B95812" w:rsidP="00B95812">
      <w:pPr>
        <w:pStyle w:val="Heading3"/>
        <w:jc w:val="both"/>
        <w:rPr>
          <w:rFonts w:cs="Arial"/>
          <w:b w:val="0"/>
          <w:bCs w:val="0"/>
          <w:i w:val="0"/>
          <w:iCs w:val="0"/>
          <w:noProof w:val="0"/>
          <w:szCs w:val="19"/>
        </w:rPr>
      </w:pPr>
      <w:r w:rsidRPr="00C54A15">
        <w:rPr>
          <w:rFonts w:cs="Arial"/>
          <w:b w:val="0"/>
          <w:bCs w:val="0"/>
          <w:i w:val="0"/>
          <w:iCs w:val="0"/>
          <w:noProof w:val="0"/>
          <w:szCs w:val="19"/>
        </w:rPr>
        <w:t xml:space="preserve">In addition to the </w:t>
      </w:r>
      <w:r w:rsidR="00C54A15" w:rsidRPr="00C54A15">
        <w:rPr>
          <w:rFonts w:cs="Arial"/>
          <w:b w:val="0"/>
          <w:bCs w:val="0"/>
          <w:i w:val="0"/>
          <w:iCs w:val="0"/>
          <w:noProof w:val="0"/>
          <w:szCs w:val="19"/>
        </w:rPr>
        <w:t>matters</w:t>
      </w:r>
      <w:r w:rsidRPr="00C54A15">
        <w:rPr>
          <w:rFonts w:cs="Arial"/>
          <w:b w:val="0"/>
          <w:bCs w:val="0"/>
          <w:i w:val="0"/>
          <w:iCs w:val="0"/>
          <w:noProof w:val="0"/>
          <w:szCs w:val="19"/>
        </w:rPr>
        <w:t xml:space="preserve">, Jolt Capital encourages an open and transparent approach to facilitate investors in contacting the management company as necessary. </w:t>
      </w:r>
    </w:p>
    <w:p w14:paraId="3FF8517A" w14:textId="518F97DD" w:rsidR="00B95812" w:rsidRPr="00C54A15" w:rsidRDefault="00B95812" w:rsidP="00B95812">
      <w:pPr>
        <w:pStyle w:val="Heading3"/>
        <w:jc w:val="both"/>
        <w:rPr>
          <w:rFonts w:cs="Arial"/>
          <w:b w:val="0"/>
          <w:bCs w:val="0"/>
          <w:i w:val="0"/>
          <w:iCs w:val="0"/>
          <w:noProof w:val="0"/>
          <w:szCs w:val="19"/>
        </w:rPr>
      </w:pPr>
      <w:r w:rsidRPr="00C54A15">
        <w:rPr>
          <w:rFonts w:cs="Arial"/>
          <w:b w:val="0"/>
          <w:bCs w:val="0"/>
          <w:i w:val="0"/>
          <w:iCs w:val="0"/>
          <w:noProof w:val="0"/>
          <w:szCs w:val="19"/>
        </w:rPr>
        <w:t>It is important to note that all communication with investors is carried out in compliance with relevant laws and regulations, as well as Jolt Capital's Conflict of Interest Policy.</w:t>
      </w:r>
    </w:p>
    <w:p w14:paraId="0CC1E137" w14:textId="77777777" w:rsidR="000D5FAE" w:rsidRPr="00C54A15" w:rsidRDefault="000D5FAE" w:rsidP="000D5FAE">
      <w:pPr>
        <w:rPr>
          <w:noProof w:val="0"/>
        </w:rPr>
      </w:pPr>
    </w:p>
    <w:p w14:paraId="2622F137" w14:textId="5A13AD9D" w:rsidR="001F1636" w:rsidRPr="00C54A15" w:rsidRDefault="001F1636" w:rsidP="00B95812">
      <w:pPr>
        <w:pStyle w:val="Heading3"/>
        <w:jc w:val="both"/>
        <w:rPr>
          <w:rFonts w:cs="Arial"/>
          <w:i w:val="0"/>
          <w:iCs w:val="0"/>
          <w:noProof w:val="0"/>
        </w:rPr>
      </w:pPr>
      <w:r w:rsidRPr="00C54A15">
        <w:rPr>
          <w:rFonts w:cs="Arial"/>
          <w:i w:val="0"/>
          <w:iCs w:val="0"/>
          <w:noProof w:val="0"/>
        </w:rPr>
        <w:t>Investors’ questionnaires</w:t>
      </w:r>
    </w:p>
    <w:p w14:paraId="438CED32" w14:textId="3A7C21FD" w:rsidR="00D279CB" w:rsidRPr="00C54A15" w:rsidRDefault="00B95812" w:rsidP="00C501F5">
      <w:pPr>
        <w:jc w:val="both"/>
        <w:rPr>
          <w:rFonts w:cs="Arial"/>
          <w:noProof w:val="0"/>
        </w:rPr>
      </w:pPr>
      <w:r w:rsidRPr="00C54A15">
        <w:rPr>
          <w:rFonts w:cs="Arial"/>
          <w:noProof w:val="0"/>
        </w:rPr>
        <w:t>Jolt Capital has experienced a growing demand for investor-specific Environmental, Social, and Governance (ESG) assessments since the launch of the Jolt Capital IV Fund. In response to this trend, our team has devoted significant efforts to diligently completing these questionnaires, ensuring utmost transparency, and offering investors the requisite information to make informed investment decisions.</w:t>
      </w:r>
      <w:r w:rsidR="00D279CB" w:rsidRPr="00C54A15">
        <w:rPr>
          <w:rFonts w:cs="Arial"/>
          <w:noProof w:val="0"/>
        </w:rPr>
        <w:br w:type="page"/>
      </w:r>
    </w:p>
    <w:p w14:paraId="213C6F59" w14:textId="192DF598" w:rsidR="00CA1802" w:rsidRPr="00C54A15" w:rsidRDefault="00A63245" w:rsidP="0055573C">
      <w:pPr>
        <w:pStyle w:val="Heading1"/>
        <w:jc w:val="both"/>
        <w:rPr>
          <w:rFonts w:cs="Arial"/>
          <w:noProof w:val="0"/>
        </w:rPr>
      </w:pPr>
      <w:bookmarkStart w:id="1" w:name="_Toc131689941"/>
      <w:r w:rsidRPr="00C54A15">
        <w:rPr>
          <w:rFonts w:cs="Arial"/>
          <w:noProof w:val="0"/>
        </w:rPr>
        <w:lastRenderedPageBreak/>
        <w:t>Our i</w:t>
      </w:r>
      <w:r w:rsidR="00CA1802" w:rsidRPr="00C54A15">
        <w:rPr>
          <w:rFonts w:cs="Arial"/>
          <w:noProof w:val="0"/>
        </w:rPr>
        <w:t>nternal resources</w:t>
      </w:r>
      <w:bookmarkEnd w:id="1"/>
      <w:r w:rsidR="00CA1802" w:rsidRPr="00C54A15">
        <w:rPr>
          <w:rFonts w:cs="Arial"/>
          <w:noProof w:val="0"/>
        </w:rPr>
        <w:t xml:space="preserve"> </w:t>
      </w:r>
    </w:p>
    <w:p w14:paraId="78A0B785" w14:textId="77777777" w:rsidR="00CA1802" w:rsidRPr="00C54A15" w:rsidRDefault="00CA1802" w:rsidP="00636E2F">
      <w:pPr>
        <w:pStyle w:val="Heading2"/>
        <w:numPr>
          <w:ilvl w:val="0"/>
          <w:numId w:val="36"/>
        </w:numPr>
        <w:jc w:val="both"/>
        <w:rPr>
          <w:rFonts w:cs="Arial"/>
          <w:noProof w:val="0"/>
        </w:rPr>
      </w:pPr>
      <w:r w:rsidRPr="00C54A15">
        <w:rPr>
          <w:rFonts w:cs="Arial"/>
          <w:noProof w:val="0"/>
        </w:rPr>
        <w:t>ESG team</w:t>
      </w:r>
    </w:p>
    <w:p w14:paraId="138E8757" w14:textId="3D8FD89C" w:rsidR="00603C90" w:rsidRPr="00C54A15" w:rsidRDefault="00827D31" w:rsidP="00996897">
      <w:pPr>
        <w:jc w:val="both"/>
        <w:rPr>
          <w:rFonts w:cs="Arial"/>
          <w:noProof w:val="0"/>
        </w:rPr>
      </w:pPr>
      <w:r w:rsidRPr="00C54A15">
        <w:rPr>
          <w:rFonts w:cs="Arial"/>
          <w:noProof w:val="0"/>
        </w:rPr>
        <w:t>Given our size,</w:t>
      </w:r>
      <w:r w:rsidR="00996897" w:rsidRPr="00C54A15">
        <w:rPr>
          <w:rFonts w:cs="Arial"/>
          <w:noProof w:val="0"/>
        </w:rPr>
        <w:t xml:space="preserve"> Jolt Capital, has not employed any full-time staff members exclusively dedicated to ESG (Environmental, Social, and Governance) matters. Instead, ESG falls under the purview of the compliance officer</w:t>
      </w:r>
      <w:r w:rsidR="00837815">
        <w:rPr>
          <w:rFonts w:cs="Arial"/>
          <w:noProof w:val="0"/>
        </w:rPr>
        <w:t xml:space="preserve"> who devotes 20% of his time to ESG.</w:t>
      </w:r>
      <w:r w:rsidR="00996897" w:rsidRPr="00C54A15">
        <w:rPr>
          <w:rFonts w:cs="Arial"/>
          <w:noProof w:val="0"/>
        </w:rPr>
        <w:t xml:space="preserve"> </w:t>
      </w:r>
      <w:r w:rsidR="00837815">
        <w:rPr>
          <w:rFonts w:cs="Arial"/>
          <w:noProof w:val="0"/>
        </w:rPr>
        <w:t>A</w:t>
      </w:r>
      <w:r w:rsidRPr="00C54A15">
        <w:rPr>
          <w:rFonts w:cs="Arial"/>
          <w:noProof w:val="0"/>
        </w:rPr>
        <w:t xml:space="preserve"> legal ana</w:t>
      </w:r>
      <w:r w:rsidR="00162115" w:rsidRPr="00C54A15">
        <w:rPr>
          <w:rFonts w:cs="Arial"/>
          <w:noProof w:val="0"/>
        </w:rPr>
        <w:t>ly</w:t>
      </w:r>
      <w:r w:rsidRPr="00C54A15">
        <w:rPr>
          <w:rFonts w:cs="Arial"/>
          <w:noProof w:val="0"/>
        </w:rPr>
        <w:t>st also devotes</w:t>
      </w:r>
      <w:r w:rsidR="00996897" w:rsidRPr="00C54A15">
        <w:rPr>
          <w:rFonts w:cs="Arial"/>
          <w:noProof w:val="0"/>
        </w:rPr>
        <w:t xml:space="preserve"> 50% of her time to ESG issues</w:t>
      </w:r>
      <w:r w:rsidR="00F61A2A">
        <w:rPr>
          <w:rFonts w:cs="Arial"/>
          <w:noProof w:val="0"/>
        </w:rPr>
        <w:t>.</w:t>
      </w:r>
      <w:r w:rsidR="00CF0EA6">
        <w:rPr>
          <w:rFonts w:cs="Arial"/>
          <w:noProof w:val="0"/>
        </w:rPr>
        <w:t xml:space="preserve"> T</w:t>
      </w:r>
      <w:r w:rsidR="00CF0EA6" w:rsidRPr="00CF0EA6">
        <w:rPr>
          <w:rFonts w:cs="Arial"/>
          <w:noProof w:val="0"/>
        </w:rPr>
        <w:t>he activities of these two people represent 10% of Jolt Capital's FTEs</w:t>
      </w:r>
      <w:r w:rsidR="00CF0EA6">
        <w:rPr>
          <w:rFonts w:cs="Arial"/>
          <w:noProof w:val="0"/>
        </w:rPr>
        <w:t>.</w:t>
      </w:r>
    </w:p>
    <w:p w14:paraId="71250A6D" w14:textId="324A0E15" w:rsidR="00603C90" w:rsidRPr="00C54A15" w:rsidRDefault="00996897" w:rsidP="00996897">
      <w:pPr>
        <w:jc w:val="both"/>
        <w:rPr>
          <w:rFonts w:cs="Arial"/>
          <w:noProof w:val="0"/>
        </w:rPr>
      </w:pPr>
      <w:r w:rsidRPr="00C54A15">
        <w:rPr>
          <w:rFonts w:cs="Arial"/>
          <w:noProof w:val="0"/>
        </w:rPr>
        <w:t xml:space="preserve">Currently, Jolt Capital allocates </w:t>
      </w:r>
      <w:r w:rsidR="003135AB">
        <w:rPr>
          <w:rFonts w:cs="Arial"/>
          <w:noProof w:val="0"/>
        </w:rPr>
        <w:t>2.7</w:t>
      </w:r>
      <w:r w:rsidRPr="00C54A15">
        <w:rPr>
          <w:rFonts w:cs="Arial"/>
          <w:noProof w:val="0"/>
        </w:rPr>
        <w:t>% of its budget towards ESG initiatives, equivalent to an annual amount of €</w:t>
      </w:r>
      <w:r w:rsidR="003135AB">
        <w:rPr>
          <w:rFonts w:cs="Arial"/>
          <w:noProof w:val="0"/>
        </w:rPr>
        <w:t>150,000</w:t>
      </w:r>
      <w:r w:rsidRPr="00C54A15">
        <w:rPr>
          <w:rFonts w:cs="Arial"/>
          <w:noProof w:val="0"/>
        </w:rPr>
        <w:t>. These funds are utilized to engage consulting services and employees who work on ESG-related projects.</w:t>
      </w:r>
    </w:p>
    <w:p w14:paraId="2A27A385" w14:textId="58DF8CEA" w:rsidR="00065B00" w:rsidRPr="00C54A15" w:rsidRDefault="00996897" w:rsidP="00996897">
      <w:pPr>
        <w:jc w:val="both"/>
        <w:rPr>
          <w:rFonts w:cs="Arial"/>
          <w:noProof w:val="0"/>
        </w:rPr>
      </w:pPr>
      <w:r w:rsidRPr="00C54A15">
        <w:rPr>
          <w:rFonts w:cs="Arial"/>
          <w:noProof w:val="0"/>
        </w:rPr>
        <w:t xml:space="preserve">Furthermore, </w:t>
      </w:r>
      <w:r w:rsidR="00900E92" w:rsidRPr="00C54A15">
        <w:rPr>
          <w:rFonts w:cs="Arial"/>
          <w:noProof w:val="0"/>
        </w:rPr>
        <w:t xml:space="preserve">the fund </w:t>
      </w:r>
      <w:r w:rsidRPr="00C54A15">
        <w:rPr>
          <w:rFonts w:cs="Arial"/>
          <w:noProof w:val="0"/>
        </w:rPr>
        <w:t>Jolt Capital</w:t>
      </w:r>
      <w:r w:rsidR="00900E92" w:rsidRPr="00C54A15">
        <w:rPr>
          <w:rFonts w:cs="Arial"/>
          <w:noProof w:val="0"/>
        </w:rPr>
        <w:t xml:space="preserve"> IV</w:t>
      </w:r>
      <w:r w:rsidRPr="00C54A15">
        <w:rPr>
          <w:rFonts w:cs="Arial"/>
          <w:noProof w:val="0"/>
        </w:rPr>
        <w:t xml:space="preserve"> spends an additional €15,000-€2</w:t>
      </w:r>
      <w:r w:rsidR="00900E92" w:rsidRPr="00C54A15">
        <w:rPr>
          <w:rFonts w:cs="Arial"/>
          <w:noProof w:val="0"/>
        </w:rPr>
        <w:t>5</w:t>
      </w:r>
      <w:r w:rsidRPr="00C54A15">
        <w:rPr>
          <w:rFonts w:cs="Arial"/>
          <w:noProof w:val="0"/>
        </w:rPr>
        <w:t>,000 per acquisition on consulting services to conduct a systematic ESG audit, as outlined in the integration of ESG in the investment cycle.</w:t>
      </w:r>
    </w:p>
    <w:p w14:paraId="1E910BF9" w14:textId="77777777" w:rsidR="00996897" w:rsidRPr="00C54A15" w:rsidRDefault="00996897" w:rsidP="00996897">
      <w:pPr>
        <w:jc w:val="both"/>
        <w:rPr>
          <w:rFonts w:cs="Arial"/>
          <w:noProof w:val="0"/>
        </w:rPr>
      </w:pPr>
    </w:p>
    <w:p w14:paraId="3CF8849F" w14:textId="12D5BDC1" w:rsidR="00CA1802" w:rsidRPr="00C54A15" w:rsidRDefault="00CA1802" w:rsidP="0055573C">
      <w:pPr>
        <w:pStyle w:val="Heading2"/>
        <w:jc w:val="both"/>
        <w:rPr>
          <w:rFonts w:cs="Arial"/>
          <w:noProof w:val="0"/>
        </w:rPr>
      </w:pPr>
      <w:r w:rsidRPr="00C54A15">
        <w:rPr>
          <w:rFonts w:cs="Arial"/>
          <w:noProof w:val="0"/>
        </w:rPr>
        <w:t>Training</w:t>
      </w:r>
    </w:p>
    <w:p w14:paraId="557A8C7C" w14:textId="1FD9083A" w:rsidR="00603C90" w:rsidRPr="00C54A15" w:rsidRDefault="00996897" w:rsidP="00AB495C">
      <w:pPr>
        <w:jc w:val="both"/>
        <w:rPr>
          <w:rFonts w:cs="Arial"/>
          <w:noProof w:val="0"/>
        </w:rPr>
      </w:pPr>
      <w:r w:rsidRPr="00C54A15">
        <w:rPr>
          <w:rFonts w:cs="Arial"/>
          <w:noProof w:val="0"/>
        </w:rPr>
        <w:t>At Jolt Capital, we prioritize the continuous development of our team of professionals, and we are dedicated to promoting a culture of Environmental, Social and Governance (ESG) values within our organization. To this end, we organize specialized ESG training for all employees on an annual basis. In March 2023, we collaborated with Price</w:t>
      </w:r>
      <w:r w:rsidR="0096658B" w:rsidRPr="00C54A15">
        <w:rPr>
          <w:rFonts w:cs="Arial"/>
          <w:noProof w:val="0"/>
        </w:rPr>
        <w:t>w</w:t>
      </w:r>
      <w:r w:rsidRPr="00C54A15">
        <w:rPr>
          <w:rFonts w:cs="Arial"/>
          <w:noProof w:val="0"/>
        </w:rPr>
        <w:t>aterhouseCoopers</w:t>
      </w:r>
      <w:r w:rsidR="00F61A2A">
        <w:rPr>
          <w:rFonts w:cs="Arial"/>
          <w:noProof w:val="0"/>
        </w:rPr>
        <w:t xml:space="preserve"> (1 external service provider)</w:t>
      </w:r>
      <w:r w:rsidRPr="00C54A15">
        <w:rPr>
          <w:rFonts w:cs="Arial"/>
          <w:noProof w:val="0"/>
        </w:rPr>
        <w:t xml:space="preserve"> to offer a comprehensive training program to all members of our team.</w:t>
      </w:r>
    </w:p>
    <w:p w14:paraId="5C41C77C" w14:textId="610FC6AD" w:rsidR="00996897" w:rsidRPr="00C54A15" w:rsidRDefault="00996897" w:rsidP="00AB495C">
      <w:pPr>
        <w:jc w:val="both"/>
        <w:rPr>
          <w:rFonts w:cs="Arial"/>
          <w:noProof w:val="0"/>
        </w:rPr>
      </w:pPr>
      <w:r w:rsidRPr="00C54A15">
        <w:rPr>
          <w:rFonts w:cs="Arial"/>
          <w:noProof w:val="0"/>
        </w:rPr>
        <w:t xml:space="preserve">We also place significant emphasis on enhancing the knowledge and skills of our team by providing various learning opportunities. These include sector analysis and roadmap reviews with leading manufacturers, visits and brainstorming sessions with researchers and academics from </w:t>
      </w:r>
      <w:r w:rsidR="001F1C47" w:rsidRPr="00C54A15">
        <w:rPr>
          <w:rFonts w:cs="Arial"/>
          <w:noProof w:val="0"/>
        </w:rPr>
        <w:t xml:space="preserve">esteemed </w:t>
      </w:r>
      <w:r w:rsidRPr="00C54A15">
        <w:rPr>
          <w:rFonts w:cs="Arial"/>
          <w:noProof w:val="0"/>
        </w:rPr>
        <w:t>institutions, as well as lectures and online training. We regularly organize events such as round tables and webinars to facilitate knowledge sharing and promote best practices.</w:t>
      </w:r>
    </w:p>
    <w:p w14:paraId="651E8846" w14:textId="77777777" w:rsidR="007227AF" w:rsidRPr="00C54A15" w:rsidRDefault="007227AF" w:rsidP="007227AF">
      <w:pPr>
        <w:jc w:val="both"/>
        <w:rPr>
          <w:rFonts w:cs="Arial"/>
          <w:noProof w:val="0"/>
        </w:rPr>
      </w:pPr>
      <w:r w:rsidRPr="00C54A15">
        <w:rPr>
          <w:rFonts w:cs="Arial"/>
          <w:noProof w:val="0"/>
        </w:rPr>
        <w:t xml:space="preserve">At Jolt Capital we capitalise on our network to surround ourselves with a competent and influential ecosystem on ESG issues in the Tech sector. We exchange and share best practices on ESG topics within the sector, to increase opportunities for innovation and learning for both our teams and our portfolio companies. </w:t>
      </w:r>
    </w:p>
    <w:p w14:paraId="58738092" w14:textId="190FF142" w:rsidR="007227AF" w:rsidRPr="00C54A15" w:rsidRDefault="007227AF" w:rsidP="007227AF">
      <w:pPr>
        <w:jc w:val="both"/>
        <w:rPr>
          <w:rFonts w:cs="Arial"/>
          <w:noProof w:val="0"/>
        </w:rPr>
      </w:pPr>
      <w:r w:rsidRPr="00C54A15">
        <w:rPr>
          <w:rFonts w:cs="Arial"/>
          <w:noProof w:val="0"/>
        </w:rPr>
        <w:t>Several of our partners provide training in major engineering and business schools in France, which aims to raise awareness of these aspects and to pass on their passion for innovation and technology to future generations. Through this, we aim to have a double impact of promoting and strengthening the sectors in which we operate and creating a network of future entrepreneurs with whom Jolt Capital can potentially collaborate in the future. We have also appointed Senior Advisors &amp; Operating Partners to guide the management company in its strategy and its relationship with European technological and financial ecosystems.</w:t>
      </w:r>
    </w:p>
    <w:p w14:paraId="32AB0373" w14:textId="78665C3B" w:rsidR="00065B00" w:rsidRPr="00C54A15" w:rsidRDefault="007227AF" w:rsidP="00AB495C">
      <w:pPr>
        <w:jc w:val="both"/>
        <w:rPr>
          <w:rFonts w:cs="Arial"/>
          <w:noProof w:val="0"/>
        </w:rPr>
      </w:pPr>
      <w:r w:rsidRPr="00C54A15">
        <w:rPr>
          <w:rFonts w:cs="Arial"/>
          <w:noProof w:val="0"/>
        </w:rPr>
        <w:t>Finally</w:t>
      </w:r>
      <w:r w:rsidR="00996897" w:rsidRPr="00C54A15">
        <w:rPr>
          <w:rFonts w:cs="Arial"/>
          <w:noProof w:val="0"/>
        </w:rPr>
        <w:t>, we are proud to announce the upcoming launch of the "Next Gen Partners" program, which seeks to integrate a new generation of investors into our team. This initiative aims to augment the skills, talents, and diversity of Jolt Capital, thus promoting our commitment to cultivating a strong and dynamic team.</w:t>
      </w:r>
    </w:p>
    <w:p w14:paraId="2D9435BC" w14:textId="77777777" w:rsidR="00996897" w:rsidRPr="00C54A15" w:rsidRDefault="00996897" w:rsidP="00996897">
      <w:pPr>
        <w:rPr>
          <w:noProof w:val="0"/>
        </w:rPr>
      </w:pPr>
    </w:p>
    <w:p w14:paraId="44BFAFA9" w14:textId="305F3595" w:rsidR="003E3E94" w:rsidRPr="00C54A15" w:rsidRDefault="003E3E94" w:rsidP="003E3E94">
      <w:pPr>
        <w:pStyle w:val="Heading2"/>
        <w:jc w:val="both"/>
        <w:rPr>
          <w:rFonts w:cs="Arial"/>
          <w:noProof w:val="0"/>
        </w:rPr>
      </w:pPr>
      <w:r w:rsidRPr="00C54A15">
        <w:rPr>
          <w:rFonts w:cs="Arial"/>
          <w:noProof w:val="0"/>
        </w:rPr>
        <w:t>Jolt</w:t>
      </w:r>
      <w:r w:rsidR="00065B00" w:rsidRPr="00C54A15">
        <w:rPr>
          <w:rFonts w:cs="Arial"/>
          <w:noProof w:val="0"/>
        </w:rPr>
        <w:t>.</w:t>
      </w:r>
      <w:r w:rsidRPr="00C54A15">
        <w:rPr>
          <w:rFonts w:cs="Arial"/>
          <w:noProof w:val="0"/>
        </w:rPr>
        <w:t>Ninja</w:t>
      </w:r>
    </w:p>
    <w:p w14:paraId="6A98D24D" w14:textId="2E893B05" w:rsidR="00996897" w:rsidRPr="00C54A15" w:rsidRDefault="00996897" w:rsidP="00996897">
      <w:pPr>
        <w:spacing w:after="160" w:line="259" w:lineRule="auto"/>
        <w:jc w:val="both"/>
        <w:rPr>
          <w:noProof w:val="0"/>
        </w:rPr>
      </w:pPr>
      <w:r w:rsidRPr="00C54A15">
        <w:rPr>
          <w:noProof w:val="0"/>
        </w:rPr>
        <w:t>As Jolt Capital, we have created a distinctive and exclusive Artificial Intelligence</w:t>
      </w:r>
      <w:r w:rsidR="00993D57" w:rsidRPr="00C54A15">
        <w:rPr>
          <w:noProof w:val="0"/>
        </w:rPr>
        <w:t xml:space="preserve"> (AI)</w:t>
      </w:r>
      <w:r w:rsidRPr="00C54A15">
        <w:rPr>
          <w:noProof w:val="0"/>
        </w:rPr>
        <w:t xml:space="preserve"> platform known as Jolt.Ninja. Our platform has been designed to facilitate automated sourcing, expedited due diligence, and automated detection of potential investment or acquisition targets. Jolt.Ninja </w:t>
      </w:r>
      <w:r w:rsidRPr="00C54A15">
        <w:rPr>
          <w:noProof w:val="0"/>
        </w:rPr>
        <w:lastRenderedPageBreak/>
        <w:t>utilizes a comprehensive and sophisticated system to monitor a vast array of publicly available information, allowing us to build an extensive knowledge base of hundreds of thousands of technology companies around the globe.</w:t>
      </w:r>
    </w:p>
    <w:p w14:paraId="02AC022F" w14:textId="7B2395EB" w:rsidR="008F5EFB" w:rsidRPr="00C54A15" w:rsidRDefault="00993D57" w:rsidP="00996897">
      <w:pPr>
        <w:spacing w:after="160" w:line="259" w:lineRule="auto"/>
        <w:jc w:val="both"/>
        <w:rPr>
          <w:rFonts w:cs="Arial"/>
          <w:noProof w:val="0"/>
          <w:color w:val="4472C4" w:themeColor="accent1"/>
        </w:rPr>
      </w:pPr>
      <w:r w:rsidRPr="00C54A15">
        <w:rPr>
          <w:noProof w:val="0"/>
        </w:rPr>
        <w:t>W</w:t>
      </w:r>
      <w:r w:rsidR="00996897" w:rsidRPr="00C54A15">
        <w:rPr>
          <w:noProof w:val="0"/>
        </w:rPr>
        <w:t>e are currently working on a project to integrate Environmental, Social, and Governance (ESG) criteria within Jolt.Ninja in the near future. This strategic initiative aims to enhance our Responsible Investment approach by leveraging Jolt.Ninja's capabilities to identify and target companies with a positive impact on selected ESG considerations.</w:t>
      </w:r>
      <w:r w:rsidR="008F5EFB" w:rsidRPr="00C54A15">
        <w:rPr>
          <w:rFonts w:cs="Arial"/>
          <w:noProof w:val="0"/>
        </w:rPr>
        <w:br w:type="page"/>
      </w:r>
    </w:p>
    <w:p w14:paraId="7A213231" w14:textId="0776FF29" w:rsidR="00CA1802" w:rsidRPr="00C54A15" w:rsidRDefault="00CA1802" w:rsidP="0055573C">
      <w:pPr>
        <w:pStyle w:val="Heading1"/>
        <w:jc w:val="both"/>
        <w:rPr>
          <w:rFonts w:cs="Arial"/>
          <w:noProof w:val="0"/>
          <w:color w:val="000000"/>
        </w:rPr>
      </w:pPr>
      <w:bookmarkStart w:id="2" w:name="_Toc131689942"/>
      <w:r w:rsidRPr="00C54A15">
        <w:rPr>
          <w:rFonts w:cs="Arial"/>
          <w:noProof w:val="0"/>
        </w:rPr>
        <w:lastRenderedPageBreak/>
        <w:t xml:space="preserve">ESG criteria </w:t>
      </w:r>
      <w:r w:rsidR="00A63245" w:rsidRPr="00C54A15">
        <w:rPr>
          <w:rFonts w:cs="Arial"/>
          <w:noProof w:val="0"/>
        </w:rPr>
        <w:t>in our governance</w:t>
      </w:r>
      <w:bookmarkEnd w:id="2"/>
    </w:p>
    <w:p w14:paraId="4B710B57" w14:textId="64767DAE" w:rsidR="00CA1802" w:rsidRPr="00C54A15" w:rsidRDefault="00CA1802" w:rsidP="00636E2F">
      <w:pPr>
        <w:pStyle w:val="Heading2"/>
        <w:numPr>
          <w:ilvl w:val="0"/>
          <w:numId w:val="37"/>
        </w:numPr>
        <w:jc w:val="both"/>
        <w:rPr>
          <w:rFonts w:cs="Arial"/>
          <w:noProof w:val="0"/>
        </w:rPr>
      </w:pPr>
      <w:r w:rsidRPr="00C54A15">
        <w:rPr>
          <w:rFonts w:cs="Arial"/>
          <w:noProof w:val="0"/>
        </w:rPr>
        <w:t>Knowledge, skills, and experience of governance bodies</w:t>
      </w:r>
    </w:p>
    <w:p w14:paraId="1C75476D" w14:textId="526EC264" w:rsidR="00827D31" w:rsidRPr="00C54A15" w:rsidRDefault="00996897" w:rsidP="00827D31">
      <w:pPr>
        <w:jc w:val="both"/>
        <w:rPr>
          <w:rFonts w:cs="Arial"/>
          <w:noProof w:val="0"/>
        </w:rPr>
      </w:pPr>
      <w:r w:rsidRPr="00C54A15">
        <w:rPr>
          <w:rFonts w:cs="Arial"/>
          <w:noProof w:val="0"/>
        </w:rPr>
        <w:t xml:space="preserve">At Jolt Capital, we are dedicated to promoting and expanding our expertise in environmental, social, and governance (ESG) practices within the highest levels of governance bodies that we represent. In this regard, </w:t>
      </w:r>
      <w:r w:rsidR="000519CD" w:rsidRPr="00C54A15">
        <w:rPr>
          <w:rFonts w:cs="Arial"/>
          <w:noProof w:val="0"/>
        </w:rPr>
        <w:t xml:space="preserve">in addition to providing annual ESG training to all Managing Partners, </w:t>
      </w:r>
      <w:r w:rsidRPr="00C54A15">
        <w:rPr>
          <w:rFonts w:cs="Arial"/>
          <w:noProof w:val="0"/>
        </w:rPr>
        <w:t xml:space="preserve">the Compliance Officer </w:t>
      </w:r>
      <w:r w:rsidR="00C54A15" w:rsidRPr="00C54A15">
        <w:rPr>
          <w:rFonts w:cs="Arial"/>
          <w:noProof w:val="0"/>
        </w:rPr>
        <w:t>oversees</w:t>
      </w:r>
      <w:r w:rsidRPr="00C54A15">
        <w:rPr>
          <w:rFonts w:cs="Arial"/>
          <w:noProof w:val="0"/>
        </w:rPr>
        <w:t xml:space="preserve"> the </w:t>
      </w:r>
      <w:r w:rsidR="00C54A15" w:rsidRPr="00C54A15">
        <w:rPr>
          <w:rFonts w:cs="Arial"/>
          <w:noProof w:val="0"/>
        </w:rPr>
        <w:t>integration</w:t>
      </w:r>
      <w:r w:rsidR="00827D31" w:rsidRPr="00C54A15">
        <w:rPr>
          <w:rFonts w:cs="Arial"/>
          <w:noProof w:val="0"/>
        </w:rPr>
        <w:t xml:space="preserve"> of </w:t>
      </w:r>
      <w:r w:rsidRPr="00C54A15">
        <w:rPr>
          <w:rFonts w:cs="Arial"/>
          <w:noProof w:val="0"/>
        </w:rPr>
        <w:t xml:space="preserve">ESG policy and the Responsible Investment Strategy, </w:t>
      </w:r>
      <w:r w:rsidR="00827D31" w:rsidRPr="00C54A15">
        <w:rPr>
          <w:rFonts w:cs="Arial"/>
          <w:noProof w:val="0"/>
        </w:rPr>
        <w:t>the Compliance Officer also</w:t>
      </w:r>
      <w:r w:rsidRPr="00C54A15">
        <w:rPr>
          <w:rFonts w:cs="Arial"/>
          <w:noProof w:val="0"/>
        </w:rPr>
        <w:t xml:space="preserve"> oversees climate-related matters as part of our Sustainability Leadership position.</w:t>
      </w:r>
      <w:r w:rsidR="00827D31" w:rsidRPr="00C54A15">
        <w:rPr>
          <w:rFonts w:cs="Arial"/>
          <w:noProof w:val="0"/>
        </w:rPr>
        <w:t xml:space="preserve"> </w:t>
      </w:r>
    </w:p>
    <w:p w14:paraId="7FA97E8C" w14:textId="53E1DF3F" w:rsidR="00996897" w:rsidRPr="00C54A15" w:rsidRDefault="00C54A15" w:rsidP="00996897">
      <w:pPr>
        <w:jc w:val="both"/>
        <w:rPr>
          <w:rFonts w:cs="Arial"/>
          <w:noProof w:val="0"/>
        </w:rPr>
      </w:pPr>
      <w:r w:rsidRPr="00C54A15">
        <w:rPr>
          <w:rFonts w:cs="Arial"/>
          <w:noProof w:val="0"/>
        </w:rPr>
        <w:t>Additionally</w:t>
      </w:r>
      <w:r w:rsidR="00827D31" w:rsidRPr="00C54A15">
        <w:rPr>
          <w:rFonts w:cs="Arial"/>
          <w:noProof w:val="0"/>
        </w:rPr>
        <w:t xml:space="preserve">, each managing partner who is assigned to a deal at Jolt Capital is responsible for risk management, which includes the integration of ESG-related risks. To encourage our teams to implement our ESG policy, we are currently </w:t>
      </w:r>
      <w:r w:rsidR="00A47606" w:rsidRPr="00C54A15">
        <w:rPr>
          <w:rFonts w:cs="Arial"/>
          <w:noProof w:val="0"/>
        </w:rPr>
        <w:t xml:space="preserve">assessing </w:t>
      </w:r>
      <w:r w:rsidR="00827D31" w:rsidRPr="00C54A15">
        <w:rPr>
          <w:rFonts w:cs="Arial"/>
          <w:noProof w:val="0"/>
        </w:rPr>
        <w:t>an approach to integrate ESG criteria into our annual performance reviews and adapt our compensation policy accordingly.</w:t>
      </w:r>
    </w:p>
    <w:p w14:paraId="61A0D61C" w14:textId="1870A645" w:rsidR="00996897" w:rsidRPr="00C54A15" w:rsidRDefault="00996897" w:rsidP="00996897">
      <w:pPr>
        <w:jc w:val="both"/>
        <w:rPr>
          <w:rFonts w:cs="Arial"/>
          <w:noProof w:val="0"/>
        </w:rPr>
      </w:pPr>
      <w:r w:rsidRPr="00C54A15">
        <w:rPr>
          <w:rFonts w:cs="Arial"/>
          <w:noProof w:val="0"/>
        </w:rPr>
        <w:t xml:space="preserve">Prior to each investment, a formal Investment Committee session is conducted to comprehensively review and discuss ESG risks and opportunities. We also </w:t>
      </w:r>
      <w:r w:rsidR="00827D31" w:rsidRPr="00C54A15">
        <w:rPr>
          <w:rFonts w:cs="Arial"/>
          <w:noProof w:val="0"/>
        </w:rPr>
        <w:t xml:space="preserve">systematically </w:t>
      </w:r>
      <w:r w:rsidRPr="00C54A15">
        <w:rPr>
          <w:rFonts w:cs="Arial"/>
          <w:noProof w:val="0"/>
        </w:rPr>
        <w:t xml:space="preserve">engage external consultants to perform </w:t>
      </w:r>
      <w:r w:rsidR="00827D31" w:rsidRPr="00C54A15">
        <w:rPr>
          <w:rFonts w:cs="Arial"/>
          <w:noProof w:val="0"/>
        </w:rPr>
        <w:t xml:space="preserve">the </w:t>
      </w:r>
      <w:r w:rsidRPr="00C54A15">
        <w:rPr>
          <w:rFonts w:cs="Arial"/>
          <w:noProof w:val="0"/>
        </w:rPr>
        <w:t xml:space="preserve">ESG </w:t>
      </w:r>
      <w:r w:rsidR="00827D31" w:rsidRPr="00C54A15">
        <w:rPr>
          <w:rFonts w:cs="Arial"/>
          <w:noProof w:val="0"/>
        </w:rPr>
        <w:t>audit</w:t>
      </w:r>
      <w:r w:rsidRPr="00C54A15">
        <w:rPr>
          <w:rFonts w:cs="Arial"/>
          <w:noProof w:val="0"/>
        </w:rPr>
        <w:t xml:space="preserve"> and evaluate the ESG positioning of our portfolio, ensuring the implementation and follow-up of ESG action plans in various portfolio companies.</w:t>
      </w:r>
    </w:p>
    <w:p w14:paraId="4E3B88F2" w14:textId="77777777" w:rsidR="00996897" w:rsidRPr="00C54A15" w:rsidRDefault="00996897" w:rsidP="00996897">
      <w:pPr>
        <w:jc w:val="both"/>
        <w:rPr>
          <w:rFonts w:cs="Arial"/>
          <w:noProof w:val="0"/>
        </w:rPr>
      </w:pPr>
    </w:p>
    <w:p w14:paraId="2C3C5214" w14:textId="21DEBB9B" w:rsidR="00CA1802" w:rsidRPr="00C54A15" w:rsidRDefault="00CA1802" w:rsidP="0055573C">
      <w:pPr>
        <w:pStyle w:val="Heading2"/>
        <w:jc w:val="both"/>
        <w:rPr>
          <w:rFonts w:cs="Arial"/>
          <w:noProof w:val="0"/>
        </w:rPr>
      </w:pPr>
      <w:r w:rsidRPr="00C54A15">
        <w:rPr>
          <w:rFonts w:cs="Arial"/>
          <w:noProof w:val="0"/>
        </w:rPr>
        <w:t xml:space="preserve">ESG integration in </w:t>
      </w:r>
      <w:r w:rsidR="00A13430" w:rsidRPr="00C54A15">
        <w:rPr>
          <w:rFonts w:cs="Arial"/>
          <w:noProof w:val="0"/>
        </w:rPr>
        <w:t>our R</w:t>
      </w:r>
      <w:r w:rsidRPr="00C54A15">
        <w:rPr>
          <w:rFonts w:cs="Arial"/>
          <w:noProof w:val="0"/>
        </w:rPr>
        <w:t xml:space="preserve">emuneration </w:t>
      </w:r>
      <w:r w:rsidR="00A13430" w:rsidRPr="00C54A15">
        <w:rPr>
          <w:rFonts w:cs="Arial"/>
          <w:noProof w:val="0"/>
        </w:rPr>
        <w:t>Policy</w:t>
      </w:r>
    </w:p>
    <w:p w14:paraId="663FAF6E" w14:textId="422CD3BD" w:rsidR="00996897" w:rsidRPr="00C54A15" w:rsidRDefault="00996897" w:rsidP="00996897">
      <w:pPr>
        <w:jc w:val="both"/>
        <w:rPr>
          <w:rFonts w:cs="Arial"/>
          <w:noProof w:val="0"/>
        </w:rPr>
      </w:pPr>
      <w:r w:rsidRPr="00C54A15">
        <w:rPr>
          <w:rFonts w:cs="Arial"/>
          <w:noProof w:val="0"/>
        </w:rPr>
        <w:t xml:space="preserve">Sustainability risks are not only incorporated into our investment </w:t>
      </w:r>
      <w:r w:rsidR="00C54A15" w:rsidRPr="00C54A15">
        <w:rPr>
          <w:rFonts w:cs="Arial"/>
          <w:noProof w:val="0"/>
        </w:rPr>
        <w:t>processes but</w:t>
      </w:r>
      <w:r w:rsidRPr="00C54A15">
        <w:rPr>
          <w:rFonts w:cs="Arial"/>
          <w:noProof w:val="0"/>
        </w:rPr>
        <w:t xml:space="preserve"> are also ingrained into our remuneration policies at various levels. </w:t>
      </w:r>
    </w:p>
    <w:p w14:paraId="3F03C16A" w14:textId="114A9384" w:rsidR="00996897" w:rsidRPr="00C54A15" w:rsidRDefault="00996897" w:rsidP="00996897">
      <w:pPr>
        <w:jc w:val="both"/>
        <w:rPr>
          <w:rFonts w:cs="Arial"/>
          <w:noProof w:val="0"/>
        </w:rPr>
      </w:pPr>
      <w:r w:rsidRPr="00C54A15">
        <w:rPr>
          <w:rFonts w:cs="Arial"/>
          <w:noProof w:val="0"/>
        </w:rPr>
        <w:t xml:space="preserve">As a responsible investor, Jolt Capital's remuneration policy aims to (i) promote sound and effective risk management </w:t>
      </w:r>
      <w:r w:rsidR="00C54A15" w:rsidRPr="00C54A15">
        <w:rPr>
          <w:rFonts w:cs="Arial"/>
          <w:noProof w:val="0"/>
        </w:rPr>
        <w:t>regarding</w:t>
      </w:r>
      <w:r w:rsidRPr="00C54A15">
        <w:rPr>
          <w:rFonts w:cs="Arial"/>
          <w:noProof w:val="0"/>
        </w:rPr>
        <w:t xml:space="preserve"> sustainability risks, ensuring that the remuneration structure does not encourage excessive risk-taking related to sustainability risks, and (ii) is linked to risk-adjusted performance.</w:t>
      </w:r>
    </w:p>
    <w:p w14:paraId="0E1FD77A" w14:textId="77777777" w:rsidR="00996897" w:rsidRPr="00C54A15" w:rsidRDefault="00996897" w:rsidP="00996897">
      <w:pPr>
        <w:jc w:val="both"/>
        <w:rPr>
          <w:rFonts w:cs="Arial"/>
          <w:noProof w:val="0"/>
        </w:rPr>
      </w:pPr>
      <w:r w:rsidRPr="00C54A15">
        <w:rPr>
          <w:rFonts w:cs="Arial"/>
          <w:noProof w:val="0"/>
        </w:rPr>
        <w:t>As a result of this approach, the individual and collective objectives at Jolt Capital include elements related to adherence to the ESG framework. The investment strategy pursued by Jolt Capital is primarily based on promoting socially responsible investing by considering Environmental, Social, or Governance (ESG) criteria. These factors are incorporated throughout all investment strategies, enabling the integration of sustainability risks, including those associated with climate change.</w:t>
      </w:r>
    </w:p>
    <w:p w14:paraId="769A203C" w14:textId="1B0BFBEC" w:rsidR="00996897" w:rsidRPr="00C54A15" w:rsidRDefault="00996897" w:rsidP="00996897">
      <w:pPr>
        <w:jc w:val="both"/>
        <w:rPr>
          <w:rFonts w:cs="Arial"/>
          <w:noProof w:val="0"/>
        </w:rPr>
      </w:pPr>
      <w:r w:rsidRPr="00C54A15">
        <w:rPr>
          <w:rFonts w:cs="Arial"/>
          <w:noProof w:val="0"/>
        </w:rPr>
        <w:t xml:space="preserve">In particular, ESG factors are </w:t>
      </w:r>
      <w:r w:rsidR="00C54A15" w:rsidRPr="00C54A15">
        <w:rPr>
          <w:rFonts w:cs="Arial"/>
          <w:noProof w:val="0"/>
        </w:rPr>
        <w:t>considered</w:t>
      </w:r>
      <w:r w:rsidRPr="00C54A15">
        <w:rPr>
          <w:rFonts w:cs="Arial"/>
          <w:noProof w:val="0"/>
        </w:rPr>
        <w:t xml:space="preserve"> in the compensation schemes related to Jolt Capital IV fund, which is classified as an Article 9 (SFDR) fund, in the following manner:</w:t>
      </w:r>
    </w:p>
    <w:p w14:paraId="11D3917D" w14:textId="70501556" w:rsidR="00996897" w:rsidRPr="00C54A15" w:rsidRDefault="00996897" w:rsidP="00996897">
      <w:pPr>
        <w:pStyle w:val="ListParagraph"/>
        <w:numPr>
          <w:ilvl w:val="0"/>
          <w:numId w:val="3"/>
        </w:numPr>
        <w:jc w:val="both"/>
        <w:rPr>
          <w:rFonts w:cs="Arial"/>
          <w:noProof w:val="0"/>
        </w:rPr>
      </w:pPr>
      <w:r w:rsidRPr="00C54A15">
        <w:rPr>
          <w:rFonts w:cs="Arial"/>
          <w:noProof w:val="0"/>
        </w:rPr>
        <w:t>10% of the total carried interest is withheld until the sustainability objective of that fund is achieved;</w:t>
      </w:r>
    </w:p>
    <w:p w14:paraId="7EE53564" w14:textId="14170567" w:rsidR="00B70ABB" w:rsidRPr="00C54A15" w:rsidRDefault="00996897" w:rsidP="00996897">
      <w:pPr>
        <w:pStyle w:val="ListParagraph"/>
        <w:numPr>
          <w:ilvl w:val="0"/>
          <w:numId w:val="3"/>
        </w:numPr>
        <w:jc w:val="both"/>
        <w:rPr>
          <w:rFonts w:cs="Arial"/>
          <w:noProof w:val="0"/>
        </w:rPr>
      </w:pPr>
      <w:r w:rsidRPr="00C54A15">
        <w:rPr>
          <w:rFonts w:cs="Arial"/>
          <w:noProof w:val="0"/>
        </w:rPr>
        <w:t>If the Fund Sustainability Objective is partially attained, the GHG Reserve will be proportionally released and distributed to the Carried Interest Holders.</w:t>
      </w:r>
    </w:p>
    <w:p w14:paraId="248483D8" w14:textId="0AF6C535" w:rsidR="00636E2F" w:rsidRPr="00C54A15" w:rsidRDefault="00917398" w:rsidP="00636E2F">
      <w:pPr>
        <w:pStyle w:val="Heading2"/>
        <w:numPr>
          <w:ilvl w:val="0"/>
          <w:numId w:val="0"/>
        </w:numPr>
        <w:jc w:val="both"/>
        <w:rPr>
          <w:rFonts w:cs="Arial"/>
          <w:noProof w:val="0"/>
          <w:color w:val="auto"/>
          <w:sz w:val="22"/>
        </w:rPr>
      </w:pPr>
      <w:r w:rsidRPr="00C54A15">
        <w:rPr>
          <w:rFonts w:cs="Arial"/>
          <w:noProof w:val="0"/>
          <w:color w:val="auto"/>
          <w:sz w:val="22"/>
        </w:rPr>
        <w:t>This information is also published on our website in line with all regulatory requirements.</w:t>
      </w:r>
    </w:p>
    <w:p w14:paraId="37F849F6" w14:textId="77777777" w:rsidR="000D5FAE" w:rsidRPr="00C54A15" w:rsidRDefault="000D5FAE" w:rsidP="000D5FAE">
      <w:pPr>
        <w:rPr>
          <w:noProof w:val="0"/>
        </w:rPr>
      </w:pPr>
    </w:p>
    <w:p w14:paraId="3CF23C1A" w14:textId="523709EC" w:rsidR="00CA1802" w:rsidRPr="00C54A15" w:rsidRDefault="00CA1802" w:rsidP="00636E2F">
      <w:pPr>
        <w:pStyle w:val="Heading2"/>
        <w:rPr>
          <w:noProof w:val="0"/>
        </w:rPr>
      </w:pPr>
      <w:r w:rsidRPr="00C54A15">
        <w:rPr>
          <w:noProof w:val="0"/>
        </w:rPr>
        <w:t>Integration of ESG criteria in the rules of procedure of the entity's board of</w:t>
      </w:r>
      <w:r w:rsidR="00A63245" w:rsidRPr="00C54A15">
        <w:rPr>
          <w:noProof w:val="0"/>
        </w:rPr>
        <w:t xml:space="preserve"> </w:t>
      </w:r>
      <w:r w:rsidRPr="00C54A15">
        <w:rPr>
          <w:noProof w:val="0"/>
        </w:rPr>
        <w:t>directors or supervisory board</w:t>
      </w:r>
    </w:p>
    <w:p w14:paraId="67B239F4" w14:textId="7BB07C48" w:rsidR="00A65111" w:rsidRPr="00C54A15" w:rsidRDefault="00996897" w:rsidP="000D5FAE">
      <w:pPr>
        <w:jc w:val="both"/>
        <w:rPr>
          <w:rFonts w:cstheme="minorHAnsi"/>
          <w:noProof w:val="0"/>
        </w:rPr>
      </w:pPr>
      <w:r w:rsidRPr="00C54A15">
        <w:rPr>
          <w:rFonts w:cs="Arial"/>
          <w:noProof w:val="0"/>
        </w:rPr>
        <w:t xml:space="preserve">As Jolt Capital, we strive to integrate Environmental, Social, and Governance (ESG) criteria in all aspects of our investment processes. To this end, we have incorporated ESG guidelines in the rules of procedure of our board of directors, and we actively engage in the governance of our </w:t>
      </w:r>
      <w:r w:rsidRPr="00C54A15">
        <w:rPr>
          <w:rFonts w:cs="Arial"/>
          <w:noProof w:val="0"/>
        </w:rPr>
        <w:lastRenderedPageBreak/>
        <w:t xml:space="preserve">portfolio companies to monitor and influence their operations and practices. </w:t>
      </w:r>
      <w:r w:rsidR="00A65111" w:rsidRPr="00C54A15">
        <w:rPr>
          <w:rFonts w:cstheme="minorHAnsi"/>
          <w:noProof w:val="0"/>
        </w:rPr>
        <w:t xml:space="preserve">For each company a person </w:t>
      </w:r>
      <w:r w:rsidR="00C54A15" w:rsidRPr="00C54A15">
        <w:rPr>
          <w:rFonts w:cstheme="minorHAnsi"/>
          <w:noProof w:val="0"/>
        </w:rPr>
        <w:t>oversees</w:t>
      </w:r>
      <w:r w:rsidR="00A65111" w:rsidRPr="00C54A15">
        <w:rPr>
          <w:rFonts w:cstheme="minorHAnsi"/>
          <w:noProof w:val="0"/>
        </w:rPr>
        <w:t xml:space="preserve"> sustainability matters within the company (either full time or part time, or as part of a job position). This person reports directly to both the board of the relevant portfolio company and the compliance teams at Jolt Capital and other responsible shareholders. This dual communication channel ensures that matters can be addressed both at the company board level and internally at Jolt Capital.</w:t>
      </w:r>
      <w:r w:rsidR="00A65111" w:rsidRPr="00C54A15">
        <w:rPr>
          <w:rFonts w:cstheme="minorHAnsi"/>
          <w:noProof w:val="0"/>
        </w:rPr>
        <w:tab/>
        <w:t xml:space="preserve">In addition to this, when investing in a company, Jolt Capital requires at least eight board meetings per year (which creates an average cadence of one board meeting every six weeks). We also require that Audit committees and Nomination committees be formed in order to facilitate ad hoc and informal additional meetings. </w:t>
      </w:r>
      <w:r w:rsidR="00827D31" w:rsidRPr="00C54A15">
        <w:rPr>
          <w:rFonts w:cstheme="minorHAnsi"/>
          <w:noProof w:val="0"/>
        </w:rPr>
        <w:t>Discussing ESG at least once annually at Board level</w:t>
      </w:r>
      <w:r w:rsidR="00F708AB" w:rsidRPr="00C54A15">
        <w:rPr>
          <w:rFonts w:cstheme="minorHAnsi"/>
          <w:noProof w:val="0"/>
        </w:rPr>
        <w:t xml:space="preserve"> and more frequently at sub-committee levels, allows the effective implementation of various</w:t>
      </w:r>
      <w:r w:rsidR="00827D31" w:rsidRPr="00C54A15">
        <w:rPr>
          <w:rFonts w:cstheme="minorHAnsi"/>
          <w:noProof w:val="0"/>
        </w:rPr>
        <w:t xml:space="preserve"> ESG objectives</w:t>
      </w:r>
      <w:r w:rsidR="00F708AB" w:rsidRPr="00C54A15">
        <w:rPr>
          <w:rFonts w:cstheme="minorHAnsi"/>
          <w:noProof w:val="0"/>
        </w:rPr>
        <w:t xml:space="preserve"> and targets</w:t>
      </w:r>
      <w:r w:rsidR="00827D31" w:rsidRPr="00C54A15">
        <w:rPr>
          <w:rFonts w:cstheme="minorHAnsi"/>
          <w:noProof w:val="0"/>
        </w:rPr>
        <w:t xml:space="preserve"> into the company's strategy</w:t>
      </w:r>
      <w:r w:rsidR="00F708AB" w:rsidRPr="00C54A15">
        <w:rPr>
          <w:rFonts w:cstheme="minorHAnsi"/>
          <w:noProof w:val="0"/>
        </w:rPr>
        <w:t>.</w:t>
      </w:r>
    </w:p>
    <w:p w14:paraId="62644723" w14:textId="6E521910" w:rsidR="00996897" w:rsidRPr="00C54A15" w:rsidRDefault="00996897" w:rsidP="00996897">
      <w:pPr>
        <w:spacing w:after="160" w:line="259" w:lineRule="auto"/>
        <w:jc w:val="both"/>
        <w:rPr>
          <w:rFonts w:cs="Arial"/>
          <w:noProof w:val="0"/>
        </w:rPr>
      </w:pPr>
      <w:r w:rsidRPr="00C54A15">
        <w:rPr>
          <w:rFonts w:cs="Arial"/>
          <w:noProof w:val="0"/>
        </w:rPr>
        <w:t xml:space="preserve">This </w:t>
      </w:r>
      <w:r w:rsidR="00C54A15" w:rsidRPr="00C54A15">
        <w:rPr>
          <w:rFonts w:cs="Arial"/>
          <w:noProof w:val="0"/>
        </w:rPr>
        <w:t>ultimately</w:t>
      </w:r>
      <w:r w:rsidR="00A65111" w:rsidRPr="00C54A15">
        <w:rPr>
          <w:rFonts w:cs="Arial"/>
          <w:noProof w:val="0"/>
        </w:rPr>
        <w:t xml:space="preserve"> </w:t>
      </w:r>
      <w:r w:rsidRPr="00C54A15">
        <w:rPr>
          <w:rFonts w:cs="Arial"/>
          <w:noProof w:val="0"/>
        </w:rPr>
        <w:t>reinforces sound governance practices and promotes greater visibility on the social and environmental dimensions of their activities. Our investment contracts and resulting shareholders' agreements are designed to strengthen the board of directors' decision-making and control power, and we insist on the appointment of independent directors to the board.</w:t>
      </w:r>
    </w:p>
    <w:p w14:paraId="4E9D2646" w14:textId="11535905" w:rsidR="006E47E2" w:rsidRPr="00C54A15" w:rsidRDefault="00996897" w:rsidP="00996897">
      <w:pPr>
        <w:spacing w:after="160" w:line="259" w:lineRule="auto"/>
        <w:jc w:val="both"/>
        <w:rPr>
          <w:rFonts w:cs="Arial"/>
          <w:noProof w:val="0"/>
        </w:rPr>
      </w:pPr>
      <w:r w:rsidRPr="00C54A15">
        <w:rPr>
          <w:rFonts w:cs="Arial"/>
          <w:noProof w:val="0"/>
        </w:rPr>
        <w:t xml:space="preserve">At Jolt Capital, we systematically review ESG issues at the management level, including during our annual review of the portfolio's ESG positioning, following the annual ESG reporting campaign. We also formally review and discuss ESG risks and opportunities during our </w:t>
      </w:r>
      <w:r w:rsidR="00A65111" w:rsidRPr="00C54A15">
        <w:rPr>
          <w:rFonts w:cs="Arial"/>
          <w:noProof w:val="0"/>
        </w:rPr>
        <w:t>bi-</w:t>
      </w:r>
      <w:r w:rsidRPr="00C54A15">
        <w:rPr>
          <w:rFonts w:cs="Arial"/>
          <w:noProof w:val="0"/>
        </w:rPr>
        <w:t>weekly Investment Committee sessions. Finally, our investments are conditional upon the creation or extension of a stock option plan that benefits the company's executives and key talents to foster better value sharing.</w:t>
      </w:r>
      <w:r w:rsidR="006E47E2" w:rsidRPr="00C54A15">
        <w:rPr>
          <w:rFonts w:cs="Arial"/>
          <w:noProof w:val="0"/>
        </w:rPr>
        <w:br w:type="page"/>
      </w:r>
    </w:p>
    <w:p w14:paraId="4BF19452" w14:textId="34011143" w:rsidR="0084459C" w:rsidRPr="00C54A15" w:rsidRDefault="00A63245" w:rsidP="009B47D3">
      <w:pPr>
        <w:pStyle w:val="Heading1"/>
        <w:jc w:val="both"/>
        <w:rPr>
          <w:rFonts w:cs="Arial"/>
          <w:noProof w:val="0"/>
          <w:color w:val="000000"/>
        </w:rPr>
      </w:pPr>
      <w:bookmarkStart w:id="3" w:name="_Toc131689943"/>
      <w:bookmarkStart w:id="4" w:name="_Ref133337726"/>
      <w:r w:rsidRPr="00C54A15">
        <w:rPr>
          <w:rFonts w:cs="Arial"/>
          <w:noProof w:val="0"/>
        </w:rPr>
        <w:lastRenderedPageBreak/>
        <w:t>Our e</w:t>
      </w:r>
      <w:r w:rsidR="005D60C3" w:rsidRPr="00C54A15">
        <w:rPr>
          <w:rFonts w:cs="Arial"/>
          <w:noProof w:val="0"/>
        </w:rPr>
        <w:t xml:space="preserve">ngagement strategy with issuers </w:t>
      </w:r>
      <w:r w:rsidRPr="00C54A15">
        <w:rPr>
          <w:rFonts w:cs="Arial"/>
          <w:noProof w:val="0"/>
        </w:rPr>
        <w:t>and</w:t>
      </w:r>
      <w:r w:rsidR="005D60C3" w:rsidRPr="00C54A15">
        <w:rPr>
          <w:rFonts w:cs="Arial"/>
          <w:noProof w:val="0"/>
        </w:rPr>
        <w:t xml:space="preserve"> management companies</w:t>
      </w:r>
      <w:bookmarkEnd w:id="3"/>
      <w:bookmarkEnd w:id="4"/>
    </w:p>
    <w:p w14:paraId="380C98C5" w14:textId="294CA069" w:rsidR="004A0FEE" w:rsidRPr="00C54A15" w:rsidRDefault="004E258B" w:rsidP="00636E2F">
      <w:pPr>
        <w:pStyle w:val="Heading2"/>
        <w:numPr>
          <w:ilvl w:val="0"/>
          <w:numId w:val="38"/>
        </w:numPr>
        <w:jc w:val="both"/>
        <w:rPr>
          <w:rFonts w:cs="Arial"/>
          <w:noProof w:val="0"/>
        </w:rPr>
      </w:pPr>
      <w:r w:rsidRPr="00C54A15">
        <w:rPr>
          <w:rFonts w:cs="Arial"/>
          <w:noProof w:val="0"/>
        </w:rPr>
        <w:t>Jolt Capital’s</w:t>
      </w:r>
      <w:r w:rsidR="00D36588" w:rsidRPr="00C54A15">
        <w:rPr>
          <w:rFonts w:cs="Arial"/>
          <w:noProof w:val="0"/>
        </w:rPr>
        <w:t xml:space="preserve"> voting policy</w:t>
      </w:r>
    </w:p>
    <w:p w14:paraId="19B69F7F" w14:textId="24BE6A9C" w:rsidR="00225812" w:rsidRPr="00C54A15" w:rsidRDefault="0065299F" w:rsidP="00225812">
      <w:pPr>
        <w:jc w:val="both"/>
        <w:rPr>
          <w:b/>
          <w:bCs/>
          <w:noProof w:val="0"/>
        </w:rPr>
      </w:pPr>
      <w:r w:rsidRPr="00C54A15">
        <w:rPr>
          <w:b/>
          <w:bCs/>
          <w:noProof w:val="0"/>
        </w:rPr>
        <w:t>Voting rights principles</w:t>
      </w:r>
    </w:p>
    <w:p w14:paraId="0C9681D5" w14:textId="77777777" w:rsidR="00303AE0" w:rsidRPr="00C54A15" w:rsidRDefault="00303AE0" w:rsidP="00303AE0">
      <w:pPr>
        <w:jc w:val="both"/>
        <w:rPr>
          <w:rFonts w:cs="Arial"/>
          <w:noProof w:val="0"/>
        </w:rPr>
      </w:pPr>
      <w:bookmarkStart w:id="5" w:name="_Toc131689944"/>
      <w:r w:rsidRPr="00C54A15">
        <w:rPr>
          <w:rFonts w:cs="Arial"/>
          <w:noProof w:val="0"/>
        </w:rPr>
        <w:t xml:space="preserve">Jolt Capital's portfolio comprises securities of both listed and unlisted companies. As a result, the management company is proportionally entitled to voting rights based on its participation in the company, as well as certain veto rights as stipulated by the shareholder agreement. </w:t>
      </w:r>
    </w:p>
    <w:p w14:paraId="7756DAEC" w14:textId="02442D9D" w:rsidR="00303AE0" w:rsidRPr="00C54A15" w:rsidRDefault="00303AE0" w:rsidP="00303AE0">
      <w:pPr>
        <w:jc w:val="both"/>
        <w:rPr>
          <w:rFonts w:cs="Arial"/>
          <w:noProof w:val="0"/>
        </w:rPr>
      </w:pPr>
      <w:r w:rsidRPr="00C54A15">
        <w:rPr>
          <w:rFonts w:cs="Arial"/>
          <w:noProof w:val="0"/>
        </w:rPr>
        <w:t>Additionally, Jolt Capital has established its representation in the management bodies as a condition of investment under its contracts, holding significant rights in the companies' committees. In each of these committees, Jolt Capital appoints a representative who holds a committee seat either personally or as a permanent representative.</w:t>
      </w:r>
    </w:p>
    <w:p w14:paraId="21EA598E" w14:textId="618F029A" w:rsidR="00303AE0" w:rsidRPr="00C54A15" w:rsidRDefault="00303AE0" w:rsidP="00303AE0">
      <w:pPr>
        <w:jc w:val="both"/>
        <w:rPr>
          <w:rFonts w:cs="Arial"/>
          <w:noProof w:val="0"/>
        </w:rPr>
      </w:pPr>
      <w:r w:rsidRPr="00C54A15">
        <w:rPr>
          <w:rFonts w:cs="Arial"/>
          <w:noProof w:val="0"/>
        </w:rPr>
        <w:t>Jolt Capital is obligated to follow the voting rules set forth by the French "Association Française de Gestion," as per article 533-22 of the French Monetary and Financial Code. The exercise of these voting rights is mandatory. The voting policy of the management company is solely driven by the fair treatment of shareholders, and any conflict of interest must be resolved in accordance with Jolt Capital's conflict of interest policy.</w:t>
      </w:r>
    </w:p>
    <w:p w14:paraId="0F2752ED" w14:textId="3B6C59BF" w:rsidR="00303AE0" w:rsidRPr="00C54A15" w:rsidRDefault="00303AE0" w:rsidP="00303AE0">
      <w:pPr>
        <w:jc w:val="both"/>
        <w:rPr>
          <w:rFonts w:cs="Arial"/>
          <w:noProof w:val="0"/>
        </w:rPr>
      </w:pPr>
      <w:r w:rsidRPr="00C54A15">
        <w:rPr>
          <w:rFonts w:cs="Arial"/>
          <w:noProof w:val="0"/>
        </w:rPr>
        <w:t xml:space="preserve">Furthermore, Jolt Capital's voting policy adheres to the principles of protecting the long-term interests of the fund's </w:t>
      </w:r>
      <w:r w:rsidR="00A65111" w:rsidRPr="00C54A15">
        <w:rPr>
          <w:rFonts w:cs="Arial"/>
          <w:noProof w:val="0"/>
        </w:rPr>
        <w:t>investors</w:t>
      </w:r>
      <w:r w:rsidRPr="00C54A15">
        <w:rPr>
          <w:rFonts w:cs="Arial"/>
          <w:noProof w:val="0"/>
        </w:rPr>
        <w:t>, the social interests of the company, maintaining the integrity of accounts and transparent communication, preventing conflicts of interest between the company and its administrators through the separation of powers and sufficient independence of the committee, transparency of the leaders' payment policy, and the company's development strategy.</w:t>
      </w:r>
    </w:p>
    <w:p w14:paraId="57C98E86" w14:textId="1C74E451" w:rsidR="00303AE0" w:rsidRPr="00C54A15" w:rsidRDefault="00303AE0" w:rsidP="00303AE0">
      <w:pPr>
        <w:jc w:val="both"/>
        <w:rPr>
          <w:rFonts w:cs="Arial"/>
          <w:noProof w:val="0"/>
        </w:rPr>
      </w:pPr>
      <w:r w:rsidRPr="00C54A15">
        <w:rPr>
          <w:rFonts w:cs="Arial"/>
          <w:noProof w:val="0"/>
        </w:rPr>
        <w:t xml:space="preserve">While voting rights are exercised and driven by investors' interests, the approval of the Investment Committee may be sought in case of uncertainty about the company's business continuity, cessation of business, </w:t>
      </w:r>
      <w:r w:rsidR="00C54A15" w:rsidRPr="00C54A15">
        <w:rPr>
          <w:rFonts w:cs="Arial"/>
          <w:noProof w:val="0"/>
        </w:rPr>
        <w:t>sale,</w:t>
      </w:r>
      <w:r w:rsidRPr="00C54A15">
        <w:rPr>
          <w:rFonts w:cs="Arial"/>
          <w:noProof w:val="0"/>
        </w:rPr>
        <w:t xml:space="preserve"> or acquisition of assets, change of management, disputes or divergences with co-investors, deviation from the business plan, or any other resolution. </w:t>
      </w:r>
    </w:p>
    <w:p w14:paraId="5D670DF9" w14:textId="04FF78CA" w:rsidR="009E772B" w:rsidRPr="00C54A15" w:rsidRDefault="00303AE0" w:rsidP="00303AE0">
      <w:pPr>
        <w:jc w:val="both"/>
        <w:rPr>
          <w:rFonts w:cs="Arial"/>
          <w:noProof w:val="0"/>
        </w:rPr>
      </w:pPr>
      <w:r w:rsidRPr="00C54A15">
        <w:rPr>
          <w:rFonts w:cs="Arial"/>
          <w:noProof w:val="0"/>
        </w:rPr>
        <w:t>Additionally, every vote or abstention concerning a status modification, the approval of the income statement or the result affectation, the nomination or revocation of social organs, regulated conventions, issue and redemption programs, designation of legal auditors, or any other resolution must be justified.</w:t>
      </w:r>
    </w:p>
    <w:p w14:paraId="14EFEAC4" w14:textId="77777777" w:rsidR="00303AE0" w:rsidRPr="00C54A15" w:rsidRDefault="00303AE0" w:rsidP="00303AE0">
      <w:pPr>
        <w:jc w:val="both"/>
        <w:rPr>
          <w:rFonts w:cs="Arial"/>
          <w:noProof w:val="0"/>
        </w:rPr>
      </w:pPr>
    </w:p>
    <w:p w14:paraId="7E865B64" w14:textId="6D9DB4BC" w:rsidR="005903F2" w:rsidRPr="00C54A15" w:rsidRDefault="005903F2" w:rsidP="005903F2">
      <w:pPr>
        <w:jc w:val="both"/>
        <w:rPr>
          <w:rFonts w:cs="Arial"/>
          <w:b/>
          <w:bCs/>
          <w:noProof w:val="0"/>
        </w:rPr>
      </w:pPr>
      <w:r w:rsidRPr="00C54A15">
        <w:rPr>
          <w:rFonts w:cs="Arial"/>
          <w:b/>
          <w:bCs/>
          <w:noProof w:val="0"/>
        </w:rPr>
        <w:t>Conflicts of interest</w:t>
      </w:r>
    </w:p>
    <w:p w14:paraId="7CBBDD97" w14:textId="7B87E555" w:rsidR="00303AE0" w:rsidRPr="00C54A15" w:rsidRDefault="00303AE0" w:rsidP="00303AE0">
      <w:pPr>
        <w:jc w:val="both"/>
        <w:rPr>
          <w:noProof w:val="0"/>
        </w:rPr>
      </w:pPr>
      <w:r w:rsidRPr="00C54A15">
        <w:rPr>
          <w:noProof w:val="0"/>
        </w:rPr>
        <w:t>A</w:t>
      </w:r>
      <w:r w:rsidR="00993D57" w:rsidRPr="00C54A15">
        <w:rPr>
          <w:noProof w:val="0"/>
        </w:rPr>
        <w:t>s</w:t>
      </w:r>
      <w:r w:rsidRPr="00C54A15">
        <w:rPr>
          <w:noProof w:val="0"/>
        </w:rPr>
        <w:t xml:space="preserve"> Jolt Capital, we are committed to upholding the best interests of our investors in managed funds while adhering to high standards of business ethics. In the event of a potential conflict of interest that may impede our voting rights, our Chief Compliance Officer will take the necessary measures to resolve the matter.</w:t>
      </w:r>
    </w:p>
    <w:p w14:paraId="01BBB22C" w14:textId="2ABE7CF4" w:rsidR="00B70ABB" w:rsidRPr="00C54A15" w:rsidRDefault="00303AE0" w:rsidP="00303AE0">
      <w:pPr>
        <w:jc w:val="both"/>
        <w:rPr>
          <w:noProof w:val="0"/>
        </w:rPr>
      </w:pPr>
      <w:r w:rsidRPr="00C54A15">
        <w:rPr>
          <w:noProof w:val="0"/>
        </w:rPr>
        <w:t>If a conflict of interest arises between a</w:t>
      </w:r>
      <w:r w:rsidR="009459B9" w:rsidRPr="00C54A15">
        <w:rPr>
          <w:noProof w:val="0"/>
        </w:rPr>
        <w:t xml:space="preserve">n employee </w:t>
      </w:r>
      <w:r w:rsidRPr="00C54A15">
        <w:rPr>
          <w:noProof w:val="0"/>
        </w:rPr>
        <w:t xml:space="preserve">and Jolt Capital, we will </w:t>
      </w:r>
      <w:r w:rsidR="00934C3C" w:rsidRPr="00C54A15">
        <w:rPr>
          <w:noProof w:val="0"/>
        </w:rPr>
        <w:t xml:space="preserve">take </w:t>
      </w:r>
      <w:r w:rsidRPr="00C54A15">
        <w:rPr>
          <w:noProof w:val="0"/>
        </w:rPr>
        <w:t>appropriate measures to mitigate any potential obstruction to our voting rights. Similarly, if a conflict of interest arises between Jolt Capital and the company shareholders, which could impact our voting exercise, we will review our vote under the guidance of the Chief Compliance Officer. The Officer will draft a recommendation on the matter, ensuring that our decision is made in line with our commitment to ethical and responsible business practices.</w:t>
      </w:r>
    </w:p>
    <w:p w14:paraId="7570C50B" w14:textId="2775F07B" w:rsidR="00303AE0" w:rsidRPr="00C54A15" w:rsidRDefault="00303AE0" w:rsidP="00303AE0">
      <w:pPr>
        <w:jc w:val="both"/>
        <w:rPr>
          <w:noProof w:val="0"/>
        </w:rPr>
      </w:pPr>
    </w:p>
    <w:p w14:paraId="7297693C" w14:textId="77777777" w:rsidR="00993D57" w:rsidRPr="00C54A15" w:rsidRDefault="00993D57" w:rsidP="00303AE0">
      <w:pPr>
        <w:jc w:val="both"/>
        <w:rPr>
          <w:noProof w:val="0"/>
        </w:rPr>
      </w:pPr>
    </w:p>
    <w:p w14:paraId="714AD201" w14:textId="68CC7906" w:rsidR="003E3E94" w:rsidRPr="00C54A15" w:rsidRDefault="005903F2" w:rsidP="003E3E94">
      <w:pPr>
        <w:pStyle w:val="Heading2"/>
        <w:jc w:val="both"/>
        <w:rPr>
          <w:rFonts w:cs="Arial"/>
          <w:noProof w:val="0"/>
        </w:rPr>
      </w:pPr>
      <w:r w:rsidRPr="00C54A15">
        <w:rPr>
          <w:rFonts w:cs="Arial"/>
          <w:noProof w:val="0"/>
        </w:rPr>
        <w:lastRenderedPageBreak/>
        <w:t xml:space="preserve">Summary </w:t>
      </w:r>
      <w:r w:rsidR="00934C3C" w:rsidRPr="00C54A15">
        <w:rPr>
          <w:rFonts w:cs="Arial"/>
          <w:noProof w:val="0"/>
        </w:rPr>
        <w:t>of Jolt Capital’s</w:t>
      </w:r>
      <w:r w:rsidRPr="00C54A15">
        <w:rPr>
          <w:rFonts w:cs="Arial"/>
          <w:noProof w:val="0"/>
        </w:rPr>
        <w:t xml:space="preserve"> 2022</w:t>
      </w:r>
      <w:r w:rsidR="00934C3C" w:rsidRPr="00C54A15">
        <w:rPr>
          <w:rFonts w:cs="Arial"/>
          <w:noProof w:val="0"/>
        </w:rPr>
        <w:t xml:space="preserve"> voting campaign</w:t>
      </w:r>
    </w:p>
    <w:p w14:paraId="6522A094" w14:textId="09ED3FBE" w:rsidR="00303AE0" w:rsidRPr="00C54A15" w:rsidRDefault="00303AE0" w:rsidP="00303AE0">
      <w:pPr>
        <w:jc w:val="both"/>
        <w:rPr>
          <w:noProof w:val="0"/>
        </w:rPr>
      </w:pPr>
      <w:r w:rsidRPr="00C54A15">
        <w:rPr>
          <w:noProof w:val="0"/>
        </w:rPr>
        <w:t xml:space="preserve">The following information provides a summary of Jolt Capital's 2022 voting campaign, during which </w:t>
      </w:r>
      <w:r w:rsidR="00530A64" w:rsidRPr="00C54A15">
        <w:rPr>
          <w:noProof w:val="0"/>
        </w:rPr>
        <w:t xml:space="preserve">Jolt Capital </w:t>
      </w:r>
      <w:r w:rsidRPr="00C54A15">
        <w:rPr>
          <w:noProof w:val="0"/>
        </w:rPr>
        <w:t>actively voted on</w:t>
      </w:r>
      <w:r w:rsidR="00934C3C" w:rsidRPr="00C54A15">
        <w:rPr>
          <w:noProof w:val="0"/>
        </w:rPr>
        <w:t xml:space="preserve"> proposed</w:t>
      </w:r>
      <w:r w:rsidRPr="00C54A15">
        <w:rPr>
          <w:noProof w:val="0"/>
        </w:rPr>
        <w:t xml:space="preserve"> resolutions on behalf of the funds under our management. </w:t>
      </w:r>
    </w:p>
    <w:p w14:paraId="76C3E3B0" w14:textId="0A36664D" w:rsidR="00303AE0" w:rsidRPr="00C54A15" w:rsidRDefault="00303AE0" w:rsidP="00303AE0">
      <w:pPr>
        <w:jc w:val="both"/>
        <w:rPr>
          <w:noProof w:val="0"/>
        </w:rPr>
      </w:pPr>
      <w:r w:rsidRPr="00C54A15">
        <w:rPr>
          <w:noProof w:val="0"/>
        </w:rPr>
        <w:t>Throughout 2022, Jolt Capital exercised its voting rights at 12 companies operating in 7 countries, covering the entire portfolio of companies in which Jolt Capital's managed funds held equity shares</w:t>
      </w:r>
      <w:r w:rsidR="00F61A2A">
        <w:rPr>
          <w:noProof w:val="0"/>
        </w:rPr>
        <w:t xml:space="preserve"> (100%)</w:t>
      </w:r>
      <w:r w:rsidRPr="00C54A15">
        <w:rPr>
          <w:noProof w:val="0"/>
        </w:rPr>
        <w:t>.</w:t>
      </w:r>
    </w:p>
    <w:p w14:paraId="0FAF8205" w14:textId="3C35CB45" w:rsidR="00303AE0" w:rsidRPr="00C54A15" w:rsidRDefault="00303AE0" w:rsidP="00303AE0">
      <w:pPr>
        <w:jc w:val="both"/>
        <w:rPr>
          <w:noProof w:val="0"/>
        </w:rPr>
      </w:pPr>
      <w:r w:rsidRPr="00C54A15">
        <w:rPr>
          <w:noProof w:val="0"/>
        </w:rPr>
        <w:t xml:space="preserve">Geographically, our voting activities were distributed as follows: 50% of the votes were cast at general meetings held by French companies, while the remaining 50% were cast at general meetings held by companies headquartered abroad, specifically in Germany, Finland, Denmark, Norway, Switzerland, and Singapore. </w:t>
      </w:r>
    </w:p>
    <w:p w14:paraId="7B084E95" w14:textId="66F6C4D7" w:rsidR="005903F2" w:rsidRPr="00C54A15" w:rsidRDefault="00303AE0" w:rsidP="00303AE0">
      <w:pPr>
        <w:jc w:val="both"/>
        <w:rPr>
          <w:noProof w:val="0"/>
        </w:rPr>
      </w:pPr>
      <w:r w:rsidRPr="00C54A15">
        <w:rPr>
          <w:noProof w:val="0"/>
        </w:rPr>
        <w:t xml:space="preserve">In total, Jolt Capital </w:t>
      </w:r>
      <w:r w:rsidR="00C54A15" w:rsidRPr="00C54A15">
        <w:rPr>
          <w:noProof w:val="0"/>
        </w:rPr>
        <w:t>analysed</w:t>
      </w:r>
      <w:r w:rsidRPr="00C54A15">
        <w:rPr>
          <w:noProof w:val="0"/>
        </w:rPr>
        <w:t xml:space="preserve"> 148 resolutions during the 2022 voting campaign, and all resolutions that were voted on passed, resulting in a 100% success rate.</w:t>
      </w:r>
    </w:p>
    <w:p w14:paraId="0D0CC5EE" w14:textId="77777777" w:rsidR="00303AE0" w:rsidRPr="00C54A15" w:rsidRDefault="00303AE0" w:rsidP="00303AE0">
      <w:pPr>
        <w:jc w:val="both"/>
        <w:rPr>
          <w:noProof w:val="0"/>
        </w:rPr>
      </w:pPr>
    </w:p>
    <w:p w14:paraId="1AA0DEF6" w14:textId="77777777" w:rsidR="0087363E" w:rsidRPr="00C54A15" w:rsidRDefault="005903F2" w:rsidP="0087363E">
      <w:pPr>
        <w:keepNext/>
        <w:jc w:val="both"/>
        <w:rPr>
          <w:noProof w:val="0"/>
        </w:rPr>
      </w:pPr>
      <w:r w:rsidRPr="00C54A15">
        <w:drawing>
          <wp:inline distT="0" distB="0" distL="0" distR="0" wp14:anchorId="3689EDB0" wp14:editId="70176D2B">
            <wp:extent cx="5941060" cy="33350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1060" cy="3335020"/>
                    </a:xfrm>
                    <a:prstGeom prst="rect">
                      <a:avLst/>
                    </a:prstGeom>
                  </pic:spPr>
                </pic:pic>
              </a:graphicData>
            </a:graphic>
          </wp:inline>
        </w:drawing>
      </w:r>
    </w:p>
    <w:p w14:paraId="63DE9B37" w14:textId="51FC330F" w:rsidR="005903F2" w:rsidRPr="00C54A15" w:rsidRDefault="0087363E" w:rsidP="0087363E">
      <w:pPr>
        <w:pStyle w:val="Caption"/>
        <w:jc w:val="center"/>
        <w:rPr>
          <w:noProof w:val="0"/>
        </w:rPr>
      </w:pPr>
      <w:r w:rsidRPr="00C54A15">
        <w:rPr>
          <w:noProof w:val="0"/>
        </w:rPr>
        <w:t xml:space="preserve">Figure </w:t>
      </w:r>
      <w:r w:rsidRPr="00C54A15">
        <w:rPr>
          <w:noProof w:val="0"/>
        </w:rPr>
        <w:fldChar w:fldCharType="begin"/>
      </w:r>
      <w:r w:rsidRPr="00C54A15">
        <w:rPr>
          <w:noProof w:val="0"/>
        </w:rPr>
        <w:instrText xml:space="preserve"> SEQ Figure \* ARABIC </w:instrText>
      </w:r>
      <w:r w:rsidRPr="00C54A15">
        <w:rPr>
          <w:noProof w:val="0"/>
        </w:rPr>
        <w:fldChar w:fldCharType="separate"/>
      </w:r>
      <w:r w:rsidR="004C4669" w:rsidRPr="00C54A15">
        <w:rPr>
          <w:noProof w:val="0"/>
        </w:rPr>
        <w:t>2</w:t>
      </w:r>
      <w:r w:rsidRPr="00C54A15">
        <w:rPr>
          <w:noProof w:val="0"/>
        </w:rPr>
        <w:fldChar w:fldCharType="end"/>
      </w:r>
      <w:r w:rsidRPr="00C54A15">
        <w:rPr>
          <w:noProof w:val="0"/>
        </w:rPr>
        <w:t>: Distribution of 2022 resolution types</w:t>
      </w:r>
    </w:p>
    <w:p w14:paraId="66F31C98" w14:textId="77777777" w:rsidR="00993D57" w:rsidRPr="00C54A15" w:rsidRDefault="00993D57" w:rsidP="00863A34">
      <w:pPr>
        <w:jc w:val="both"/>
        <w:rPr>
          <w:noProof w:val="0"/>
        </w:rPr>
      </w:pPr>
    </w:p>
    <w:p w14:paraId="7648408C" w14:textId="72417044" w:rsidR="00993D57" w:rsidRPr="00C54A15" w:rsidRDefault="00303AE0" w:rsidP="00863A34">
      <w:pPr>
        <w:jc w:val="both"/>
        <w:rPr>
          <w:noProof w:val="0"/>
        </w:rPr>
      </w:pPr>
      <w:r w:rsidRPr="00C54A15">
        <w:rPr>
          <w:noProof w:val="0"/>
        </w:rPr>
        <w:t xml:space="preserve">In 2022, Jolt Capital, cast </w:t>
      </w:r>
      <w:r w:rsidR="00C54A15" w:rsidRPr="00C54A15">
        <w:rPr>
          <w:noProof w:val="0"/>
        </w:rPr>
        <w:t>most of</w:t>
      </w:r>
      <w:r w:rsidRPr="00C54A15">
        <w:rPr>
          <w:noProof w:val="0"/>
        </w:rPr>
        <w:t xml:space="preserve"> its votes on </w:t>
      </w:r>
      <w:r w:rsidR="00530A64" w:rsidRPr="00C54A15">
        <w:rPr>
          <w:noProof w:val="0"/>
        </w:rPr>
        <w:t xml:space="preserve">varied </w:t>
      </w:r>
      <w:r w:rsidRPr="00C54A15">
        <w:rPr>
          <w:noProof w:val="0"/>
        </w:rPr>
        <w:t xml:space="preserve">resolutions, including the program of issuance or repurchase of equity securities, the appointment or dismissal of corporate directors, and the remuneration of directors. </w:t>
      </w:r>
    </w:p>
    <w:p w14:paraId="77DD23F8" w14:textId="7BDFFE1D" w:rsidR="00993D57" w:rsidRPr="00C54A15" w:rsidRDefault="00303AE0" w:rsidP="00863A34">
      <w:pPr>
        <w:jc w:val="both"/>
        <w:rPr>
          <w:noProof w:val="0"/>
        </w:rPr>
      </w:pPr>
      <w:r w:rsidRPr="00C54A15">
        <w:rPr>
          <w:noProof w:val="0"/>
        </w:rPr>
        <w:t xml:space="preserve">Jolt Capital generally voted in </w:t>
      </w:r>
      <w:r w:rsidR="00C54A15" w:rsidRPr="00C54A15">
        <w:rPr>
          <w:noProof w:val="0"/>
        </w:rPr>
        <w:t>favour</w:t>
      </w:r>
      <w:r w:rsidRPr="00C54A15">
        <w:rPr>
          <w:noProof w:val="0"/>
        </w:rPr>
        <w:t xml:space="preserve"> of resolutions concerning capital increases and free share issues, provided that they were in the best interest of investors. The firm also supported the approval of annual accounts and regulated agreements proposed by the Board and signed by auditors of the portfolio companies. The appointment and remuneration of statutory auditors were also among the resolutions voted on. </w:t>
      </w:r>
    </w:p>
    <w:p w14:paraId="43340F1C" w14:textId="223B7D0F" w:rsidR="00863A34" w:rsidRPr="00C54A15" w:rsidRDefault="00303AE0" w:rsidP="00863A34">
      <w:pPr>
        <w:jc w:val="both"/>
        <w:rPr>
          <w:noProof w:val="0"/>
        </w:rPr>
      </w:pPr>
      <w:r w:rsidRPr="00C54A15">
        <w:rPr>
          <w:noProof w:val="0"/>
        </w:rPr>
        <w:t xml:space="preserve">The firm assessed amendments to the Articles of Association on a case-by-case basis and approved them unless they negatively affected the interests of minority shareholders. Other resolutions included the power given to corporate bodies to execute formalities on behalf of the </w:t>
      </w:r>
      <w:r w:rsidRPr="00C54A15">
        <w:rPr>
          <w:noProof w:val="0"/>
        </w:rPr>
        <w:lastRenderedPageBreak/>
        <w:t>company, approval of various board actions or reports, any amendments to relevant Shareholder Agreement's, and the modification of any subcommittee charters.</w:t>
      </w:r>
    </w:p>
    <w:p w14:paraId="0248A1BC" w14:textId="26273D10" w:rsidR="00303AE0" w:rsidRPr="00C54A15" w:rsidRDefault="00614D85" w:rsidP="003E3E94">
      <w:pPr>
        <w:jc w:val="both"/>
        <w:rPr>
          <w:noProof w:val="0"/>
        </w:rPr>
      </w:pPr>
      <w:r w:rsidRPr="00C54A15">
        <w:rPr>
          <w:noProof w:val="0"/>
        </w:rPr>
        <w:t xml:space="preserve">As a signatory to the Principles of Responsible Investment, Jolt Capital actively supported resolutions promoting sustainable development. </w:t>
      </w:r>
      <w:r w:rsidR="00303AE0" w:rsidRPr="00C54A15">
        <w:rPr>
          <w:noProof w:val="0"/>
        </w:rPr>
        <w:t xml:space="preserve">In 2022, significant ESG-related decisions were made by two portfolio companies under our management, Virta and Kebony. </w:t>
      </w:r>
    </w:p>
    <w:p w14:paraId="134BA63F" w14:textId="269A0E08" w:rsidR="00303AE0" w:rsidRPr="00C54A15" w:rsidRDefault="00530A64" w:rsidP="003E3E94">
      <w:pPr>
        <w:jc w:val="both"/>
        <w:rPr>
          <w:noProof w:val="0"/>
        </w:rPr>
      </w:pPr>
      <w:r w:rsidRPr="00C54A15">
        <w:rPr>
          <w:noProof w:val="0"/>
        </w:rPr>
        <w:t xml:space="preserve">On </w:t>
      </w:r>
      <w:r w:rsidR="00303AE0" w:rsidRPr="00C54A15">
        <w:rPr>
          <w:noProof w:val="0"/>
        </w:rPr>
        <w:t xml:space="preserve">Virta, the company was </w:t>
      </w:r>
      <w:r w:rsidR="00827D31" w:rsidRPr="00C54A15">
        <w:rPr>
          <w:noProof w:val="0"/>
        </w:rPr>
        <w:t xml:space="preserve">asked </w:t>
      </w:r>
      <w:r w:rsidR="00303AE0" w:rsidRPr="00C54A15">
        <w:rPr>
          <w:noProof w:val="0"/>
        </w:rPr>
        <w:t xml:space="preserve">to undertake and successfully implemented </w:t>
      </w:r>
      <w:r w:rsidR="00C54A15" w:rsidRPr="00C54A15">
        <w:rPr>
          <w:noProof w:val="0"/>
        </w:rPr>
        <w:t>several</w:t>
      </w:r>
      <w:r w:rsidR="00303AE0" w:rsidRPr="00C54A15">
        <w:rPr>
          <w:noProof w:val="0"/>
        </w:rPr>
        <w:t xml:space="preserve"> actions, including setting internal sustainability KPIs, establishing the foundations for their first-ever sustainability report, providing internal training programs focused on diversity, inclusion, and sustainability, and conducting their first-ever Scope 4 hand-print assessment. Based on the results of the carbon calculations (Scope 1, 2, and 3), Virta subsequently updated its sustainability policy and related KPIs. </w:t>
      </w:r>
    </w:p>
    <w:p w14:paraId="0C4CE5E9" w14:textId="5192CEAE" w:rsidR="004E258B" w:rsidRPr="00C54A15" w:rsidRDefault="00303AE0" w:rsidP="003E3E94">
      <w:pPr>
        <w:jc w:val="both"/>
        <w:rPr>
          <w:rFonts w:cs="Arial"/>
          <w:noProof w:val="0"/>
        </w:rPr>
      </w:pPr>
      <w:r w:rsidRPr="00C54A15">
        <w:rPr>
          <w:noProof w:val="0"/>
        </w:rPr>
        <w:t>As for Kebony, the company was</w:t>
      </w:r>
      <w:r w:rsidR="00827D31" w:rsidRPr="00C54A15">
        <w:rPr>
          <w:noProof w:val="0"/>
        </w:rPr>
        <w:t xml:space="preserve"> asked</w:t>
      </w:r>
      <w:r w:rsidRPr="00C54A15">
        <w:rPr>
          <w:noProof w:val="0"/>
        </w:rPr>
        <w:t xml:space="preserve"> to reduce its carbon footprint by sourcing wood closer to their markets and exploring ways to further reduce their carbon footprint by following the Science-Based Targets initiative. Notably, the company sought to reduce its dependency on Furfuryl alcohol, which can be polluting in the production process. Through a rigorous set of KPIs, Kebony identified the most polluting factors in their manufacturing process and developed improved processing mechanisms in late 2022. These improved processes led to significant positive impacts, such as large energy savings and substantial waste reduction.</w:t>
      </w:r>
      <w:r w:rsidR="004E258B" w:rsidRPr="00C54A15">
        <w:rPr>
          <w:rFonts w:cs="Arial"/>
          <w:noProof w:val="0"/>
        </w:rPr>
        <w:br w:type="page"/>
      </w:r>
    </w:p>
    <w:p w14:paraId="03369C4E" w14:textId="6ED7EDAC" w:rsidR="00CB4236" w:rsidRPr="00C54A15" w:rsidRDefault="00CB4236" w:rsidP="0055573C">
      <w:pPr>
        <w:pStyle w:val="Heading1"/>
        <w:jc w:val="both"/>
        <w:rPr>
          <w:rFonts w:cs="Arial"/>
          <w:noProof w:val="0"/>
        </w:rPr>
      </w:pPr>
      <w:r w:rsidRPr="00C54A15">
        <w:rPr>
          <w:rFonts w:cs="Arial"/>
          <w:noProof w:val="0"/>
        </w:rPr>
        <w:lastRenderedPageBreak/>
        <w:t xml:space="preserve">European </w:t>
      </w:r>
      <w:r w:rsidR="00863A34" w:rsidRPr="00C54A15">
        <w:rPr>
          <w:rFonts w:cs="Arial"/>
          <w:noProof w:val="0"/>
        </w:rPr>
        <w:t>T</w:t>
      </w:r>
      <w:r w:rsidRPr="00C54A15">
        <w:rPr>
          <w:rFonts w:cs="Arial"/>
          <w:noProof w:val="0"/>
        </w:rPr>
        <w:t>axonomy and fossil fuels</w:t>
      </w:r>
      <w:bookmarkEnd w:id="5"/>
    </w:p>
    <w:p w14:paraId="57154919" w14:textId="447505D8" w:rsidR="00CB4236" w:rsidRPr="00C54A15" w:rsidRDefault="000A1E2F" w:rsidP="00636E2F">
      <w:pPr>
        <w:pStyle w:val="Heading2"/>
        <w:numPr>
          <w:ilvl w:val="0"/>
          <w:numId w:val="39"/>
        </w:numPr>
        <w:rPr>
          <w:b/>
          <w:bCs/>
          <w:i/>
          <w:iCs/>
          <w:noProof w:val="0"/>
        </w:rPr>
      </w:pPr>
      <w:r w:rsidRPr="00C54A15">
        <w:rPr>
          <w:noProof w:val="0"/>
        </w:rPr>
        <w:t xml:space="preserve">Proportion of </w:t>
      </w:r>
      <w:r w:rsidR="0090275A" w:rsidRPr="00C54A15">
        <w:rPr>
          <w:noProof w:val="0"/>
        </w:rPr>
        <w:t>our investments</w:t>
      </w:r>
      <w:r w:rsidRPr="00C54A15">
        <w:rPr>
          <w:noProof w:val="0"/>
        </w:rPr>
        <w:t xml:space="preserve"> aligned with the</w:t>
      </w:r>
      <w:r w:rsidR="0090275A" w:rsidRPr="00C54A15">
        <w:rPr>
          <w:noProof w:val="0"/>
        </w:rPr>
        <w:t xml:space="preserve"> EU</w:t>
      </w:r>
      <w:r w:rsidRPr="00C54A15">
        <w:rPr>
          <w:noProof w:val="0"/>
        </w:rPr>
        <w:t xml:space="preserve"> Taxonomy Regulation</w:t>
      </w:r>
    </w:p>
    <w:p w14:paraId="1545EDCA" w14:textId="17ED55AC" w:rsidR="006F7B95" w:rsidRPr="00C54A15" w:rsidRDefault="00303AE0" w:rsidP="00303AE0">
      <w:pPr>
        <w:jc w:val="both"/>
        <w:rPr>
          <w:rFonts w:cs="Arial"/>
          <w:noProof w:val="0"/>
        </w:rPr>
      </w:pPr>
      <w:r w:rsidRPr="00C54A15">
        <w:rPr>
          <w:rFonts w:cs="Arial"/>
          <w:noProof w:val="0"/>
        </w:rPr>
        <w:t xml:space="preserve">Jolt Capital’s investments </w:t>
      </w:r>
      <w:r w:rsidR="003763E9" w:rsidRPr="00C54A15">
        <w:rPr>
          <w:rFonts w:cs="Arial"/>
          <w:noProof w:val="0"/>
        </w:rPr>
        <w:t>do</w:t>
      </w:r>
      <w:r w:rsidRPr="00C54A15">
        <w:rPr>
          <w:rFonts w:cs="Arial"/>
          <w:noProof w:val="0"/>
        </w:rPr>
        <w:t xml:space="preserve"> not currently exhibit alignment with the EU Taxonomy, with a current </w:t>
      </w:r>
      <w:r w:rsidR="00530A64" w:rsidRPr="00C54A15">
        <w:rPr>
          <w:rFonts w:cs="Arial"/>
          <w:noProof w:val="0"/>
        </w:rPr>
        <w:t xml:space="preserve">alignment </w:t>
      </w:r>
      <w:r w:rsidRPr="00C54A15">
        <w:rPr>
          <w:rFonts w:cs="Arial"/>
          <w:noProof w:val="0"/>
        </w:rPr>
        <w:t xml:space="preserve">of 0%. </w:t>
      </w:r>
    </w:p>
    <w:p w14:paraId="40C71AEA" w14:textId="05C5D801" w:rsidR="00303AE0" w:rsidRPr="00C54A15" w:rsidRDefault="00303AE0" w:rsidP="00303AE0">
      <w:pPr>
        <w:jc w:val="both"/>
        <w:rPr>
          <w:rFonts w:cs="Arial"/>
          <w:noProof w:val="0"/>
        </w:rPr>
      </w:pPr>
      <w:r w:rsidRPr="00C54A15">
        <w:rPr>
          <w:rFonts w:cs="Arial"/>
          <w:noProof w:val="0"/>
        </w:rPr>
        <w:t xml:space="preserve">However, we have taken measures to ensure that our portfolio companies adhere to the EU Taxonomy framework. Specifically, we have requested two of our companies, namely Kebony and Virta, to assess their </w:t>
      </w:r>
      <w:r w:rsidR="00A37055" w:rsidRPr="00C54A15">
        <w:rPr>
          <w:rFonts w:cs="Arial"/>
          <w:noProof w:val="0"/>
        </w:rPr>
        <w:t xml:space="preserve">eligibility </w:t>
      </w:r>
      <w:r w:rsidR="00A37055">
        <w:rPr>
          <w:rFonts w:cs="Arial"/>
          <w:noProof w:val="0"/>
        </w:rPr>
        <w:t xml:space="preserve">and </w:t>
      </w:r>
      <w:r w:rsidRPr="00C54A15">
        <w:rPr>
          <w:rFonts w:cs="Arial"/>
          <w:noProof w:val="0"/>
        </w:rPr>
        <w:t xml:space="preserve">alignment </w:t>
      </w:r>
      <w:r w:rsidR="00A37055">
        <w:rPr>
          <w:rFonts w:cs="Arial"/>
          <w:noProof w:val="0"/>
        </w:rPr>
        <w:t>with</w:t>
      </w:r>
      <w:r w:rsidR="00A37055" w:rsidRPr="00C54A15">
        <w:rPr>
          <w:rFonts w:cs="Arial"/>
          <w:noProof w:val="0"/>
        </w:rPr>
        <w:t xml:space="preserve"> </w:t>
      </w:r>
      <w:r w:rsidRPr="00C54A15">
        <w:rPr>
          <w:rFonts w:cs="Arial"/>
          <w:noProof w:val="0"/>
        </w:rPr>
        <w:t>the EU Taxonomy.</w:t>
      </w:r>
    </w:p>
    <w:p w14:paraId="5A71D002" w14:textId="222FD4D3" w:rsidR="00303AE0" w:rsidRPr="00C54A15" w:rsidRDefault="00303AE0" w:rsidP="00303AE0">
      <w:pPr>
        <w:jc w:val="both"/>
        <w:rPr>
          <w:rFonts w:cs="Arial"/>
          <w:noProof w:val="0"/>
        </w:rPr>
      </w:pPr>
      <w:r w:rsidRPr="00C54A15">
        <w:rPr>
          <w:rFonts w:cs="Arial"/>
          <w:noProof w:val="0"/>
        </w:rPr>
        <w:t xml:space="preserve">Regarding Kebony, although the Taxonomy has not been fully implemented, the company has identified relevant sectors and activities for climate change mitigation and adaptation. Kebony is presently considering the EU Taxonomy in their ESG efforts to align themselves with the closest relevant Do No Significant Harm (DNSH) environmental requirements in line with good practice. </w:t>
      </w:r>
    </w:p>
    <w:p w14:paraId="00426E1A" w14:textId="06FC5B30" w:rsidR="00863A34" w:rsidRPr="00C54A15" w:rsidRDefault="00303AE0" w:rsidP="00303AE0">
      <w:pPr>
        <w:jc w:val="both"/>
        <w:rPr>
          <w:rFonts w:cs="Arial"/>
          <w:noProof w:val="0"/>
        </w:rPr>
      </w:pPr>
      <w:r w:rsidRPr="00C54A15">
        <w:rPr>
          <w:rFonts w:cs="Arial"/>
          <w:noProof w:val="0"/>
        </w:rPr>
        <w:t>With respect to Virta, while internal discussions have been held on the impacts of the Taxonomy, the process of alignment is still ongoing. Higher-level discussions will take place throughout the course of the 202</w:t>
      </w:r>
      <w:r w:rsidR="00760475" w:rsidRPr="00C54A15">
        <w:rPr>
          <w:rFonts w:cs="Arial"/>
          <w:noProof w:val="0"/>
        </w:rPr>
        <w:t>3</w:t>
      </w:r>
      <w:r w:rsidRPr="00C54A15">
        <w:rPr>
          <w:rFonts w:cs="Arial"/>
          <w:noProof w:val="0"/>
        </w:rPr>
        <w:t xml:space="preserve"> year on the implications and how Virta can align with the EU Taxonomy.</w:t>
      </w:r>
    </w:p>
    <w:p w14:paraId="02ED863A" w14:textId="53E3426D" w:rsidR="00E816D2" w:rsidRDefault="00790D96" w:rsidP="00303AE0">
      <w:pPr>
        <w:jc w:val="both"/>
        <w:rPr>
          <w:rFonts w:cs="Arial"/>
          <w:noProof w:val="0"/>
        </w:rPr>
      </w:pPr>
      <w:r w:rsidRPr="00C54A15">
        <w:rPr>
          <w:rFonts w:cs="Arial"/>
          <w:noProof w:val="0"/>
        </w:rPr>
        <w:t xml:space="preserve">Additionally, Kebony </w:t>
      </w:r>
      <w:r>
        <w:rPr>
          <w:rFonts w:cs="Arial"/>
          <w:noProof w:val="0"/>
        </w:rPr>
        <w:t>and Virta are</w:t>
      </w:r>
      <w:r w:rsidRPr="00C54A15">
        <w:rPr>
          <w:rFonts w:cs="Arial"/>
          <w:noProof w:val="0"/>
        </w:rPr>
        <w:t xml:space="preserve"> paying close attention to the </w:t>
      </w:r>
      <w:r>
        <w:rPr>
          <w:rFonts w:cs="Arial"/>
          <w:noProof w:val="0"/>
        </w:rPr>
        <w:t>new</w:t>
      </w:r>
      <w:r w:rsidRPr="00C54A15">
        <w:rPr>
          <w:rFonts w:cs="Arial"/>
          <w:noProof w:val="0"/>
        </w:rPr>
        <w:t xml:space="preserve"> Corporate Sustainability Reporting Directive (CSRD), as it covers SMEs and is likely to affect the company in the future.</w:t>
      </w:r>
    </w:p>
    <w:p w14:paraId="50783A25" w14:textId="77777777" w:rsidR="00790D96" w:rsidRPr="00C54A15" w:rsidRDefault="00790D96" w:rsidP="00303AE0">
      <w:pPr>
        <w:jc w:val="both"/>
        <w:rPr>
          <w:rFonts w:cs="Arial"/>
          <w:noProof w:val="0"/>
        </w:rPr>
      </w:pPr>
    </w:p>
    <w:p w14:paraId="557822CF" w14:textId="77777777" w:rsidR="00CB4236" w:rsidRPr="00C54A15" w:rsidRDefault="00CB4236" w:rsidP="00636E2F">
      <w:pPr>
        <w:pStyle w:val="Heading2"/>
        <w:rPr>
          <w:b/>
          <w:bCs/>
          <w:i/>
          <w:iCs/>
          <w:noProof w:val="0"/>
        </w:rPr>
      </w:pPr>
      <w:r w:rsidRPr="00C54A15">
        <w:rPr>
          <w:noProof w:val="0"/>
        </w:rPr>
        <w:t>Share of exposure to companies active in the fossil fuel sector</w:t>
      </w:r>
    </w:p>
    <w:p w14:paraId="41DF1BC6" w14:textId="112F052D" w:rsidR="00A12A40" w:rsidRPr="00C54A15" w:rsidRDefault="00863A34" w:rsidP="0055573C">
      <w:pPr>
        <w:jc w:val="both"/>
        <w:rPr>
          <w:rFonts w:cs="Arial"/>
          <w:noProof w:val="0"/>
        </w:rPr>
      </w:pPr>
      <w:r w:rsidRPr="00C54A15">
        <w:rPr>
          <w:rFonts w:cs="Arial"/>
          <w:noProof w:val="0"/>
        </w:rPr>
        <w:t>Jolt Capital has no exposure to companies active in the fossil fuel sector (0%).</w:t>
      </w:r>
      <w:r w:rsidR="00A12A40" w:rsidRPr="00C54A15">
        <w:rPr>
          <w:rFonts w:cs="Arial"/>
          <w:noProof w:val="0"/>
        </w:rPr>
        <w:br w:type="page"/>
      </w:r>
    </w:p>
    <w:p w14:paraId="75BAA971" w14:textId="2004747A" w:rsidR="007A7FD8" w:rsidRPr="00C54A15" w:rsidRDefault="007A7FD8" w:rsidP="0055573C">
      <w:pPr>
        <w:pStyle w:val="Heading1"/>
        <w:jc w:val="both"/>
        <w:rPr>
          <w:rFonts w:cs="Arial"/>
          <w:noProof w:val="0"/>
        </w:rPr>
      </w:pPr>
      <w:bookmarkStart w:id="6" w:name="_Toc131689945"/>
      <w:r w:rsidRPr="00C54A15">
        <w:rPr>
          <w:rFonts w:cs="Arial"/>
          <w:noProof w:val="0"/>
        </w:rPr>
        <w:lastRenderedPageBreak/>
        <w:t xml:space="preserve">Our </w:t>
      </w:r>
      <w:r w:rsidR="009C4B56">
        <w:rPr>
          <w:rFonts w:cs="Arial"/>
          <w:noProof w:val="0"/>
        </w:rPr>
        <w:t>plans</w:t>
      </w:r>
      <w:r w:rsidR="009C4B56" w:rsidRPr="00C54A15">
        <w:rPr>
          <w:rFonts w:cs="Arial"/>
          <w:noProof w:val="0"/>
        </w:rPr>
        <w:t xml:space="preserve"> </w:t>
      </w:r>
      <w:r w:rsidRPr="00C54A15">
        <w:rPr>
          <w:rFonts w:cs="Arial"/>
          <w:noProof w:val="0"/>
        </w:rPr>
        <w:t xml:space="preserve">to </w:t>
      </w:r>
      <w:r w:rsidR="005F3FC1" w:rsidRPr="00C54A15">
        <w:rPr>
          <w:rFonts w:cs="Arial"/>
          <w:noProof w:val="0"/>
        </w:rPr>
        <w:t>align</w:t>
      </w:r>
      <w:r w:rsidRPr="00C54A15">
        <w:rPr>
          <w:rFonts w:cs="Arial"/>
          <w:noProof w:val="0"/>
        </w:rPr>
        <w:t xml:space="preserve"> with the Paris Agreement</w:t>
      </w:r>
      <w:bookmarkEnd w:id="6"/>
    </w:p>
    <w:p w14:paraId="1E24C3E4" w14:textId="7190A9B8" w:rsidR="003E3E94" w:rsidRPr="00C54A15" w:rsidRDefault="005F3FC1" w:rsidP="0055573C">
      <w:pPr>
        <w:jc w:val="both"/>
        <w:rPr>
          <w:rFonts w:cs="Arial"/>
          <w:noProof w:val="0"/>
        </w:rPr>
      </w:pPr>
      <w:r w:rsidRPr="00C54A15">
        <w:rPr>
          <w:rFonts w:cs="Arial"/>
          <w:noProof w:val="0"/>
        </w:rPr>
        <w:t xml:space="preserve">To date, Jolt Capital has not yet defined a strategy nor quantitative GHG emission objectives to align </w:t>
      </w:r>
      <w:r w:rsidR="009C4B56">
        <w:rPr>
          <w:rFonts w:cs="Arial"/>
          <w:noProof w:val="0"/>
        </w:rPr>
        <w:t xml:space="preserve">with </w:t>
      </w:r>
      <w:r w:rsidR="006E66D9">
        <w:rPr>
          <w:rFonts w:cs="Arial"/>
          <w:noProof w:val="0"/>
        </w:rPr>
        <w:t xml:space="preserve"> </w:t>
      </w:r>
      <w:r w:rsidRPr="00C54A15">
        <w:rPr>
          <w:rFonts w:cs="Arial"/>
          <w:noProof w:val="0"/>
        </w:rPr>
        <w:t>the Paris Agreement.</w:t>
      </w:r>
    </w:p>
    <w:p w14:paraId="684C90F3" w14:textId="77777777" w:rsidR="005F3FC1" w:rsidRPr="00C54A15" w:rsidRDefault="005F3FC1" w:rsidP="0055573C">
      <w:pPr>
        <w:jc w:val="both"/>
        <w:rPr>
          <w:rFonts w:cs="Arial"/>
          <w:noProof w:val="0"/>
        </w:rPr>
      </w:pPr>
    </w:p>
    <w:p w14:paraId="7923F68D" w14:textId="7D9CA180" w:rsidR="00873EF9" w:rsidRPr="00C54A15" w:rsidRDefault="005F3FC1" w:rsidP="00636E2F">
      <w:pPr>
        <w:pStyle w:val="Heading2"/>
        <w:numPr>
          <w:ilvl w:val="0"/>
          <w:numId w:val="40"/>
        </w:numPr>
        <w:jc w:val="both"/>
        <w:rPr>
          <w:rFonts w:cs="Arial"/>
          <w:noProof w:val="0"/>
        </w:rPr>
      </w:pPr>
      <w:r w:rsidRPr="00C54A15">
        <w:rPr>
          <w:rFonts w:cs="Arial"/>
          <w:noProof w:val="0"/>
        </w:rPr>
        <w:t xml:space="preserve">Jolt Capital’s </w:t>
      </w:r>
      <w:r w:rsidR="00C54A15" w:rsidRPr="00C54A15">
        <w:rPr>
          <w:rFonts w:cs="Arial"/>
          <w:noProof w:val="0"/>
        </w:rPr>
        <w:t>alignment</w:t>
      </w:r>
      <w:r w:rsidRPr="00C54A15">
        <w:rPr>
          <w:rFonts w:cs="Arial"/>
          <w:noProof w:val="0"/>
        </w:rPr>
        <w:t xml:space="preserve"> plan to the Paris Agreement</w:t>
      </w:r>
    </w:p>
    <w:p w14:paraId="6956C22D" w14:textId="233FA7B2" w:rsidR="00B57700" w:rsidRPr="00C54A15" w:rsidRDefault="00B57700" w:rsidP="00B57700">
      <w:pPr>
        <w:jc w:val="both"/>
        <w:rPr>
          <w:rFonts w:cs="Arial"/>
          <w:noProof w:val="0"/>
        </w:rPr>
      </w:pPr>
      <w:bookmarkStart w:id="7" w:name="_Toc131689946"/>
      <w:r w:rsidRPr="00C54A15">
        <w:rPr>
          <w:rFonts w:cs="Arial"/>
          <w:noProof w:val="0"/>
        </w:rPr>
        <w:t>As a responsible investor, Jolt Capital recognizes the importance of addressing climate change and aligning with the Paris Agreement's goal of limiting global warming to 1.5°C above pre-industrial levels. We are committed to integrating environmental, social, and governance (ESG) considerations into our investment decision-making process and continuously improving our own environmental performance.</w:t>
      </w:r>
    </w:p>
    <w:p w14:paraId="5B316090" w14:textId="7AB47847" w:rsidR="00B57700" w:rsidRPr="00C54A15" w:rsidRDefault="004C30FF" w:rsidP="00B57700">
      <w:pPr>
        <w:jc w:val="both"/>
        <w:rPr>
          <w:rFonts w:cs="Arial"/>
          <w:noProof w:val="0"/>
        </w:rPr>
      </w:pPr>
      <w:r w:rsidRPr="00C54A15">
        <w:rPr>
          <w:rFonts w:cs="Arial"/>
          <w:noProof w:val="0"/>
        </w:rPr>
        <w:t>In accordance with our commitment to the Paris Agreement, Jolt Capital has established specific targets at both the management company and portfolio levels</w:t>
      </w:r>
      <w:r w:rsidR="004C4540" w:rsidRPr="00C54A15">
        <w:rPr>
          <w:rFonts w:cs="Arial"/>
          <w:noProof w:val="0"/>
        </w:rPr>
        <w:t>.</w:t>
      </w:r>
    </w:p>
    <w:p w14:paraId="749F694E" w14:textId="47624170" w:rsidR="004C4540" w:rsidRPr="00C54A15" w:rsidRDefault="004C30FF" w:rsidP="004C30FF">
      <w:pPr>
        <w:jc w:val="both"/>
        <w:rPr>
          <w:rFonts w:cs="Arial"/>
          <w:noProof w:val="0"/>
        </w:rPr>
      </w:pPr>
      <w:r w:rsidRPr="00C54A15">
        <w:rPr>
          <w:rFonts w:cs="Arial"/>
          <w:b/>
          <w:bCs/>
          <w:noProof w:val="0"/>
        </w:rPr>
        <w:t>At the management company level</w:t>
      </w:r>
      <w:r w:rsidRPr="00C54A15">
        <w:rPr>
          <w:rFonts w:cs="Arial"/>
          <w:noProof w:val="0"/>
        </w:rPr>
        <w:t>,</w:t>
      </w:r>
    </w:p>
    <w:p w14:paraId="7DE95A6D" w14:textId="1533401A" w:rsidR="004C4540" w:rsidRPr="00C54A15" w:rsidRDefault="004C30FF" w:rsidP="004C4540">
      <w:pPr>
        <w:pStyle w:val="ListParagraph"/>
        <w:numPr>
          <w:ilvl w:val="0"/>
          <w:numId w:val="44"/>
        </w:numPr>
        <w:ind w:left="714" w:hanging="357"/>
        <w:contextualSpacing w:val="0"/>
        <w:jc w:val="both"/>
        <w:rPr>
          <w:rFonts w:cs="Arial"/>
          <w:noProof w:val="0"/>
        </w:rPr>
      </w:pPr>
      <w:r w:rsidRPr="00C54A15">
        <w:rPr>
          <w:rFonts w:cs="Arial"/>
          <w:noProof w:val="0"/>
        </w:rPr>
        <w:t>As part of our commitment to transparency and accountability, we will rigorously measure our Scope 1, 2, and 3 carbon footprint</w:t>
      </w:r>
      <w:r w:rsidR="00D43A11" w:rsidRPr="00C54A15">
        <w:rPr>
          <w:rFonts w:cs="Arial"/>
          <w:noProof w:val="0"/>
        </w:rPr>
        <w:t xml:space="preserve"> starting in 202</w:t>
      </w:r>
      <w:r w:rsidR="00C53F58">
        <w:rPr>
          <w:rFonts w:cs="Arial"/>
          <w:noProof w:val="0"/>
        </w:rPr>
        <w:t>4</w:t>
      </w:r>
      <w:r w:rsidR="001E39B9" w:rsidRPr="00C54A15">
        <w:rPr>
          <w:rFonts w:cs="Arial"/>
          <w:noProof w:val="0"/>
        </w:rPr>
        <w:t>;</w:t>
      </w:r>
    </w:p>
    <w:p w14:paraId="7385293C" w14:textId="6A2EDED7" w:rsidR="004C4540" w:rsidRPr="00C54A15" w:rsidRDefault="004C30FF" w:rsidP="004C4540">
      <w:pPr>
        <w:pStyle w:val="ListParagraph"/>
        <w:numPr>
          <w:ilvl w:val="0"/>
          <w:numId w:val="44"/>
        </w:numPr>
        <w:ind w:left="714" w:hanging="357"/>
        <w:contextualSpacing w:val="0"/>
        <w:jc w:val="both"/>
        <w:rPr>
          <w:rFonts w:cs="Arial"/>
          <w:noProof w:val="0"/>
        </w:rPr>
      </w:pPr>
      <w:r w:rsidRPr="00C54A15">
        <w:rPr>
          <w:rFonts w:cs="Arial"/>
          <w:noProof w:val="0"/>
        </w:rPr>
        <w:t>By the end of 202</w:t>
      </w:r>
      <w:r w:rsidR="00C53F58">
        <w:rPr>
          <w:rFonts w:cs="Arial"/>
          <w:noProof w:val="0"/>
        </w:rPr>
        <w:t>4</w:t>
      </w:r>
      <w:r w:rsidRPr="00C54A15">
        <w:rPr>
          <w:rFonts w:cs="Arial"/>
          <w:noProof w:val="0"/>
        </w:rPr>
        <w:t>, we will leverage this data to establish 2030 reduction targets that are scientifically aligned with the 1.5°C trajectory. These targets will undergo regular review every five years until 2050, allowing us to adapt and improve our strategies in light of evolving scientific knowledge and global climate trends</w:t>
      </w:r>
      <w:r w:rsidR="001E39B9" w:rsidRPr="00C54A15">
        <w:rPr>
          <w:rFonts w:cs="Arial"/>
          <w:noProof w:val="0"/>
        </w:rPr>
        <w:t>;</w:t>
      </w:r>
    </w:p>
    <w:p w14:paraId="422EC9B9" w14:textId="2327BD31" w:rsidR="004C30FF" w:rsidRPr="00C54A15" w:rsidRDefault="004C30FF" w:rsidP="004C4540">
      <w:pPr>
        <w:pStyle w:val="ListParagraph"/>
        <w:numPr>
          <w:ilvl w:val="0"/>
          <w:numId w:val="44"/>
        </w:numPr>
        <w:ind w:left="714" w:hanging="357"/>
        <w:contextualSpacing w:val="0"/>
        <w:jc w:val="both"/>
        <w:rPr>
          <w:rFonts w:cs="Arial"/>
          <w:noProof w:val="0"/>
        </w:rPr>
      </w:pPr>
      <w:r w:rsidRPr="00C54A15">
        <w:rPr>
          <w:rFonts w:cs="Arial"/>
          <w:noProof w:val="0"/>
        </w:rPr>
        <w:t>Furthermore, starting from 202</w:t>
      </w:r>
      <w:r w:rsidR="00C53F58">
        <w:rPr>
          <w:rFonts w:cs="Arial"/>
          <w:noProof w:val="0"/>
        </w:rPr>
        <w:t>4</w:t>
      </w:r>
      <w:r w:rsidRPr="00C54A15">
        <w:rPr>
          <w:rFonts w:cs="Arial"/>
          <w:noProof w:val="0"/>
        </w:rPr>
        <w:t xml:space="preserve">, Jolt Capital will annually publish its carbon footprint and comprehensively assess and </w:t>
      </w:r>
      <w:r w:rsidR="00C54A15" w:rsidRPr="00C54A15">
        <w:rPr>
          <w:rFonts w:cs="Arial"/>
          <w:noProof w:val="0"/>
        </w:rPr>
        <w:t>analyse</w:t>
      </w:r>
      <w:r w:rsidRPr="00C54A15">
        <w:rPr>
          <w:rFonts w:cs="Arial"/>
          <w:noProof w:val="0"/>
        </w:rPr>
        <w:t xml:space="preserve"> our progress towards the targets we have set, as part of our annual ESG Report.</w:t>
      </w:r>
    </w:p>
    <w:p w14:paraId="08F8783F" w14:textId="77777777" w:rsidR="004C4540" w:rsidRPr="00C54A15" w:rsidRDefault="004C4540" w:rsidP="004C4540">
      <w:pPr>
        <w:pStyle w:val="ListParagraph"/>
        <w:jc w:val="both"/>
        <w:rPr>
          <w:rFonts w:cs="Arial"/>
          <w:noProof w:val="0"/>
        </w:rPr>
      </w:pPr>
    </w:p>
    <w:p w14:paraId="3A43C738" w14:textId="58A9437E" w:rsidR="0047611E" w:rsidRPr="00C54A15" w:rsidRDefault="004C30FF" w:rsidP="0047611E">
      <w:pPr>
        <w:jc w:val="both"/>
        <w:rPr>
          <w:rFonts w:cs="Arial"/>
          <w:noProof w:val="0"/>
        </w:rPr>
      </w:pPr>
      <w:r w:rsidRPr="00C54A15">
        <w:rPr>
          <w:rFonts w:cs="Arial"/>
          <w:b/>
          <w:bCs/>
          <w:noProof w:val="0"/>
        </w:rPr>
        <w:t xml:space="preserve">At the portfolio level, </w:t>
      </w:r>
      <w:r w:rsidRPr="00C54A15">
        <w:rPr>
          <w:rFonts w:cs="Arial"/>
          <w:noProof w:val="0"/>
        </w:rPr>
        <w:t xml:space="preserve">Jolt Capital is </w:t>
      </w:r>
      <w:r w:rsidR="0064674C">
        <w:rPr>
          <w:rFonts w:cs="Arial"/>
          <w:noProof w:val="0"/>
        </w:rPr>
        <w:t>committed</w:t>
      </w:r>
      <w:r w:rsidRPr="00C54A15">
        <w:rPr>
          <w:rFonts w:cs="Arial"/>
          <w:noProof w:val="0"/>
        </w:rPr>
        <w:t xml:space="preserve"> </w:t>
      </w:r>
      <w:r w:rsidR="0064674C">
        <w:rPr>
          <w:rFonts w:cs="Arial"/>
          <w:noProof w:val="0"/>
        </w:rPr>
        <w:t>to</w:t>
      </w:r>
      <w:r w:rsidRPr="00C54A15">
        <w:rPr>
          <w:rFonts w:cs="Arial"/>
          <w:noProof w:val="0"/>
        </w:rPr>
        <w:t xml:space="preserve"> driving meaningful change across all our investments. We firmly believe that the transition to a low-carbon economy necessitates a collective effort, </w:t>
      </w:r>
      <w:r w:rsidR="00FE5606">
        <w:rPr>
          <w:rFonts w:cs="Arial"/>
          <w:noProof w:val="0"/>
        </w:rPr>
        <w:t>therefore</w:t>
      </w:r>
      <w:r w:rsidRPr="00C54A15">
        <w:rPr>
          <w:rFonts w:cs="Arial"/>
          <w:noProof w:val="0"/>
        </w:rPr>
        <w:t xml:space="preserve"> we strive to empower our portfolio companies to embrace sustainability as a core principle.</w:t>
      </w:r>
      <w:r w:rsidR="0047611E" w:rsidRPr="00C54A15">
        <w:rPr>
          <w:rFonts w:cs="Arial"/>
          <w:noProof w:val="0"/>
        </w:rPr>
        <w:t xml:space="preserve"> However, </w:t>
      </w:r>
      <w:r w:rsidR="00FE5606">
        <w:rPr>
          <w:rFonts w:cs="Arial"/>
          <w:noProof w:val="0"/>
        </w:rPr>
        <w:t>given that Jolt Capital is</w:t>
      </w:r>
      <w:r w:rsidR="0047611E" w:rsidRPr="00C54A15">
        <w:rPr>
          <w:rFonts w:cs="Arial"/>
          <w:noProof w:val="0"/>
        </w:rPr>
        <w:t xml:space="preserve"> a growth-focused investment firm specializing in Deeptech, Jolt Capital has chosen not to commit to specific </w:t>
      </w:r>
      <w:r w:rsidR="006E66D9">
        <w:rPr>
          <w:rFonts w:cs="Arial"/>
          <w:noProof w:val="0"/>
        </w:rPr>
        <w:t>carbon</w:t>
      </w:r>
      <w:r w:rsidR="006E66D9" w:rsidRPr="00C54A15">
        <w:rPr>
          <w:rFonts w:cs="Arial"/>
          <w:noProof w:val="0"/>
        </w:rPr>
        <w:t xml:space="preserve"> </w:t>
      </w:r>
      <w:r w:rsidR="0047611E" w:rsidRPr="00C54A15">
        <w:rPr>
          <w:rFonts w:cs="Arial"/>
          <w:noProof w:val="0"/>
        </w:rPr>
        <w:t>reduction targets for its portfolio</w:t>
      </w:r>
      <w:r w:rsidR="006E66D9">
        <w:rPr>
          <w:rFonts w:cs="Arial"/>
          <w:noProof w:val="0"/>
        </w:rPr>
        <w:t xml:space="preserve"> companies</w:t>
      </w:r>
      <w:r w:rsidR="0047611E" w:rsidRPr="00C54A15">
        <w:rPr>
          <w:rFonts w:cs="Arial"/>
          <w:noProof w:val="0"/>
        </w:rPr>
        <w:t xml:space="preserve">. </w:t>
      </w:r>
    </w:p>
    <w:p w14:paraId="575BCD33" w14:textId="550B33B7" w:rsidR="0047611E" w:rsidRPr="00C54A15" w:rsidRDefault="0047611E" w:rsidP="0047611E">
      <w:pPr>
        <w:jc w:val="both"/>
        <w:rPr>
          <w:rFonts w:cs="Arial"/>
          <w:noProof w:val="0"/>
        </w:rPr>
      </w:pPr>
      <w:r w:rsidRPr="00C54A15">
        <w:rPr>
          <w:rFonts w:cs="Arial"/>
          <w:noProof w:val="0"/>
        </w:rPr>
        <w:t xml:space="preserve">This decision is rooted in </w:t>
      </w:r>
      <w:r w:rsidR="00FE5606">
        <w:rPr>
          <w:rFonts w:cs="Arial"/>
          <w:noProof w:val="0"/>
        </w:rPr>
        <w:t>the</w:t>
      </w:r>
      <w:r w:rsidRPr="00C54A15">
        <w:rPr>
          <w:rFonts w:cs="Arial"/>
          <w:noProof w:val="0"/>
        </w:rPr>
        <w:t xml:space="preserve"> alignment of </w:t>
      </w:r>
      <w:r w:rsidR="00FE5606">
        <w:rPr>
          <w:rFonts w:cs="Arial"/>
          <w:noProof w:val="0"/>
        </w:rPr>
        <w:t>our</w:t>
      </w:r>
      <w:r w:rsidRPr="00C54A15">
        <w:rPr>
          <w:rFonts w:cs="Arial"/>
          <w:noProof w:val="0"/>
        </w:rPr>
        <w:t xml:space="preserve"> investment strategy with the goal of helping companies grow and develop transformative technologies</w:t>
      </w:r>
      <w:r w:rsidR="00FE5606">
        <w:rPr>
          <w:rFonts w:cs="Arial"/>
          <w:noProof w:val="0"/>
        </w:rPr>
        <w:t xml:space="preserve">, </w:t>
      </w:r>
      <w:r w:rsidR="00FE5606" w:rsidRPr="00FE5606">
        <w:rPr>
          <w:rFonts w:cs="Arial"/>
          <w:noProof w:val="0"/>
        </w:rPr>
        <w:t xml:space="preserve">whose products, services, and data </w:t>
      </w:r>
      <w:r w:rsidR="00FE5606">
        <w:rPr>
          <w:rFonts w:cs="Arial"/>
          <w:noProof w:val="0"/>
        </w:rPr>
        <w:t xml:space="preserve">ultimately </w:t>
      </w:r>
      <w:r w:rsidR="00FE5606" w:rsidRPr="00FE5606">
        <w:rPr>
          <w:rFonts w:cs="Arial"/>
          <w:noProof w:val="0"/>
        </w:rPr>
        <w:t>help reduce the Greenhouse Gas (GHG) emissions of their customers</w:t>
      </w:r>
      <w:r w:rsidRPr="00C54A15">
        <w:rPr>
          <w:rFonts w:cs="Arial"/>
          <w:noProof w:val="0"/>
        </w:rPr>
        <w:t xml:space="preserve">. Jolt Capital recognizes that absolute carbon reduction targets may not be compatible with its primary aim of supporting the growth of these companies. Instead, </w:t>
      </w:r>
      <w:r w:rsidR="00FE5606">
        <w:rPr>
          <w:rFonts w:cs="Arial"/>
          <w:noProof w:val="0"/>
        </w:rPr>
        <w:t xml:space="preserve">our investment strategy </w:t>
      </w:r>
      <w:r w:rsidRPr="00C54A15">
        <w:rPr>
          <w:rFonts w:cs="Arial"/>
          <w:noProof w:val="0"/>
        </w:rPr>
        <w:t>aims to facilitate the development of large-scale technologies that indirectly contribute to the decarbonization of the economy</w:t>
      </w:r>
      <w:r w:rsidR="00FE5606">
        <w:rPr>
          <w:rFonts w:cs="Arial"/>
          <w:noProof w:val="0"/>
        </w:rPr>
        <w:t>.</w:t>
      </w:r>
      <w:r w:rsidRPr="00C54A15">
        <w:rPr>
          <w:rFonts w:cs="Arial"/>
          <w:noProof w:val="0"/>
        </w:rPr>
        <w:t xml:space="preserve"> </w:t>
      </w:r>
      <w:r w:rsidR="006E66D9">
        <w:rPr>
          <w:rFonts w:cs="Arial"/>
          <w:noProof w:val="0"/>
        </w:rPr>
        <w:t>In 2022, the technologies invested by our fund Jolt Capital IV avoided more than 100 000 tons CO</w:t>
      </w:r>
      <w:r w:rsidR="006E66D9" w:rsidRPr="00837815">
        <w:rPr>
          <w:rFonts w:cs="Arial"/>
          <w:noProof w:val="0"/>
          <w:vertAlign w:val="subscript"/>
        </w:rPr>
        <w:t>2</w:t>
      </w:r>
      <w:r w:rsidR="006E66D9">
        <w:rPr>
          <w:rFonts w:cs="Arial"/>
          <w:noProof w:val="0"/>
        </w:rPr>
        <w:t xml:space="preserve">eq GHG emissions, while the total carbon footprint of its portfolio companies amounted to </w:t>
      </w:r>
      <w:r w:rsidR="004E4FB2">
        <w:rPr>
          <w:rFonts w:cs="Arial"/>
          <w:noProof w:val="0"/>
        </w:rPr>
        <w:t>58 781</w:t>
      </w:r>
      <w:r w:rsidR="006E66D9">
        <w:rPr>
          <w:rFonts w:cs="Arial"/>
          <w:noProof w:val="0"/>
        </w:rPr>
        <w:t xml:space="preserve"> tons CO</w:t>
      </w:r>
      <w:r w:rsidR="006E66D9" w:rsidRPr="00837815">
        <w:rPr>
          <w:rFonts w:cs="Arial"/>
          <w:noProof w:val="0"/>
          <w:vertAlign w:val="subscript"/>
        </w:rPr>
        <w:t>2</w:t>
      </w:r>
      <w:r w:rsidR="006E66D9">
        <w:rPr>
          <w:rFonts w:cs="Arial"/>
          <w:noProof w:val="0"/>
        </w:rPr>
        <w:t xml:space="preserve">eq GHG emissions. The positive climate impact of the technologies funded by Jolt Capital largely offsets the negative and growing impact </w:t>
      </w:r>
      <w:r w:rsidR="00381C51">
        <w:rPr>
          <w:rFonts w:cs="Arial"/>
          <w:noProof w:val="0"/>
        </w:rPr>
        <w:t>of the companies developing and deploying these technologies.</w:t>
      </w:r>
    </w:p>
    <w:p w14:paraId="7CFE5D3D" w14:textId="29C3910D" w:rsidR="0047611E" w:rsidRPr="00C54A15" w:rsidRDefault="0047611E" w:rsidP="0047611E">
      <w:pPr>
        <w:jc w:val="both"/>
        <w:rPr>
          <w:rFonts w:cs="Arial"/>
          <w:noProof w:val="0"/>
        </w:rPr>
      </w:pPr>
      <w:r w:rsidRPr="00C54A15">
        <w:rPr>
          <w:rFonts w:cs="Arial"/>
          <w:noProof w:val="0"/>
        </w:rPr>
        <w:t>By investing in and nurturing innovative Deeptech companies</w:t>
      </w:r>
      <w:r w:rsidR="00FE5606">
        <w:rPr>
          <w:rFonts w:cs="Arial"/>
          <w:noProof w:val="0"/>
        </w:rPr>
        <w:t xml:space="preserve"> through our own sustainable objective</w:t>
      </w:r>
      <w:r w:rsidRPr="00C54A15">
        <w:rPr>
          <w:rFonts w:cs="Arial"/>
          <w:noProof w:val="0"/>
        </w:rPr>
        <w:t>, Jolt Capital seeks to enable advancements that will have a positive impact on sustainability and environmental challenges in the long run</w:t>
      </w:r>
      <w:r w:rsidR="00FE5606">
        <w:rPr>
          <w:rFonts w:cs="Arial"/>
          <w:noProof w:val="0"/>
        </w:rPr>
        <w:t xml:space="preserve">. </w:t>
      </w:r>
      <w:r w:rsidR="00FE5606" w:rsidRPr="00FE5606">
        <w:rPr>
          <w:rFonts w:cs="Arial"/>
          <w:noProof w:val="0"/>
        </w:rPr>
        <w:t xml:space="preserve">It is </w:t>
      </w:r>
      <w:r w:rsidR="00FE5606">
        <w:rPr>
          <w:rFonts w:cs="Arial"/>
          <w:noProof w:val="0"/>
        </w:rPr>
        <w:t>Jolt Capital’s conviction</w:t>
      </w:r>
      <w:r w:rsidR="00FE5606" w:rsidRPr="00FE5606">
        <w:rPr>
          <w:rFonts w:cs="Arial"/>
          <w:noProof w:val="0"/>
        </w:rPr>
        <w:t xml:space="preserve"> that </w:t>
      </w:r>
      <w:r w:rsidR="00FE5606">
        <w:rPr>
          <w:rFonts w:cs="Arial"/>
          <w:noProof w:val="0"/>
        </w:rPr>
        <w:t>D</w:t>
      </w:r>
      <w:r w:rsidR="00FE5606" w:rsidRPr="00FE5606">
        <w:rPr>
          <w:rFonts w:cs="Arial"/>
          <w:noProof w:val="0"/>
        </w:rPr>
        <w:t xml:space="preserve">eeptech investments </w:t>
      </w:r>
      <w:r w:rsidR="00FE5606">
        <w:rPr>
          <w:rFonts w:cs="Arial"/>
          <w:noProof w:val="0"/>
        </w:rPr>
        <w:t>may</w:t>
      </w:r>
      <w:r w:rsidR="00FE5606" w:rsidRPr="00FE5606">
        <w:rPr>
          <w:rFonts w:cs="Arial"/>
          <w:noProof w:val="0"/>
        </w:rPr>
        <w:t xml:space="preserve"> have a (direct or indirect) positive impact on the most urgent and pressing problem that our world is facing</w:t>
      </w:r>
      <w:r w:rsidR="00FE5606">
        <w:rPr>
          <w:rFonts w:cs="Arial"/>
          <w:noProof w:val="0"/>
        </w:rPr>
        <w:t xml:space="preserve"> today</w:t>
      </w:r>
      <w:r w:rsidR="00FE5606" w:rsidRPr="00FE5606">
        <w:rPr>
          <w:rFonts w:cs="Arial"/>
          <w:noProof w:val="0"/>
        </w:rPr>
        <w:t>: climate change.</w:t>
      </w:r>
    </w:p>
    <w:p w14:paraId="4F4E2BA5" w14:textId="2F44FB8B" w:rsidR="004C4540" w:rsidRPr="00C54A15" w:rsidRDefault="00FE5606" w:rsidP="004C30FF">
      <w:pPr>
        <w:jc w:val="both"/>
        <w:rPr>
          <w:rFonts w:cs="Arial"/>
          <w:noProof w:val="0"/>
        </w:rPr>
      </w:pPr>
      <w:r>
        <w:rPr>
          <w:rFonts w:cs="Arial"/>
          <w:noProof w:val="0"/>
        </w:rPr>
        <w:lastRenderedPageBreak/>
        <w:t>As a result of this objective</w:t>
      </w:r>
      <w:r w:rsidR="0047611E" w:rsidRPr="00C54A15">
        <w:rPr>
          <w:rFonts w:cs="Arial"/>
          <w:noProof w:val="0"/>
        </w:rPr>
        <w:t>, several decisions have been made to help track</w:t>
      </w:r>
      <w:r w:rsidR="00367959">
        <w:rPr>
          <w:rFonts w:cs="Arial"/>
          <w:noProof w:val="0"/>
        </w:rPr>
        <w:t xml:space="preserve"> the </w:t>
      </w:r>
      <w:r w:rsidR="00367959" w:rsidRPr="00C54A15">
        <w:rPr>
          <w:rFonts w:cs="Arial"/>
          <w:noProof w:val="0"/>
        </w:rPr>
        <w:t xml:space="preserve">carbon-dependence </w:t>
      </w:r>
      <w:r w:rsidR="00367959">
        <w:rPr>
          <w:rFonts w:cs="Arial"/>
          <w:noProof w:val="0"/>
        </w:rPr>
        <w:t xml:space="preserve">of our </w:t>
      </w:r>
      <w:r w:rsidR="0047611E" w:rsidRPr="00C54A15">
        <w:rPr>
          <w:rFonts w:cs="Arial"/>
          <w:noProof w:val="0"/>
        </w:rPr>
        <w:t>investments, and reduce it when deemed material:</w:t>
      </w:r>
    </w:p>
    <w:p w14:paraId="5171A6B2" w14:textId="63725BDF" w:rsidR="004C4540" w:rsidRPr="00C54A15" w:rsidRDefault="004C30FF" w:rsidP="004C4540">
      <w:pPr>
        <w:pStyle w:val="ListParagraph"/>
        <w:numPr>
          <w:ilvl w:val="0"/>
          <w:numId w:val="45"/>
        </w:numPr>
        <w:ind w:left="714" w:hanging="357"/>
        <w:contextualSpacing w:val="0"/>
        <w:jc w:val="both"/>
        <w:rPr>
          <w:rFonts w:cs="Arial"/>
          <w:noProof w:val="0"/>
        </w:rPr>
      </w:pPr>
      <w:r w:rsidRPr="00C54A15">
        <w:rPr>
          <w:rFonts w:cs="Arial"/>
          <w:noProof w:val="0"/>
        </w:rPr>
        <w:t xml:space="preserve">By the end of 2023, we are committed to ensuring that all companies within our </w:t>
      </w:r>
      <w:r w:rsidR="004D753D" w:rsidRPr="00C54A15">
        <w:rPr>
          <w:rFonts w:cs="Arial"/>
          <w:noProof w:val="0"/>
        </w:rPr>
        <w:t>Jolt Capital IV fund and our future investments</w:t>
      </w:r>
      <w:r w:rsidRPr="00C54A15">
        <w:rPr>
          <w:rFonts w:cs="Arial"/>
          <w:noProof w:val="0"/>
        </w:rPr>
        <w:t xml:space="preserve"> </w:t>
      </w:r>
      <w:r w:rsidR="00996244">
        <w:rPr>
          <w:rFonts w:cs="Arial"/>
          <w:noProof w:val="0"/>
        </w:rPr>
        <w:t xml:space="preserve">will continue to </w:t>
      </w:r>
      <w:r w:rsidRPr="00C54A15">
        <w:rPr>
          <w:rFonts w:cs="Arial"/>
          <w:noProof w:val="0"/>
        </w:rPr>
        <w:t>measure and report their Scope 1, 2, and 3 carbon footprint. This assessment will be completed within 12 months of their inclusion in our portfolio, enabling us to gain valuable insights into the environmental impact of each investment</w:t>
      </w:r>
      <w:r w:rsidR="001E39B9" w:rsidRPr="00C54A15">
        <w:rPr>
          <w:rFonts w:cs="Arial"/>
          <w:noProof w:val="0"/>
        </w:rPr>
        <w:t>;</w:t>
      </w:r>
    </w:p>
    <w:p w14:paraId="1D50EDC5" w14:textId="6414A39E" w:rsidR="004C4540" w:rsidRPr="00C54A15" w:rsidRDefault="004C30FF" w:rsidP="004C4540">
      <w:pPr>
        <w:pStyle w:val="ListParagraph"/>
        <w:numPr>
          <w:ilvl w:val="0"/>
          <w:numId w:val="45"/>
        </w:numPr>
        <w:ind w:left="714" w:hanging="357"/>
        <w:contextualSpacing w:val="0"/>
        <w:jc w:val="both"/>
        <w:rPr>
          <w:rFonts w:cs="Arial"/>
          <w:noProof w:val="0"/>
        </w:rPr>
      </w:pPr>
      <w:r w:rsidRPr="00C54A15">
        <w:rPr>
          <w:rFonts w:cs="Arial"/>
          <w:noProof w:val="0"/>
        </w:rPr>
        <w:t>Armed with this information</w:t>
      </w:r>
      <w:r w:rsidR="004D753D" w:rsidRPr="00C54A15">
        <w:rPr>
          <w:rFonts w:cs="Arial"/>
          <w:noProof w:val="0"/>
        </w:rPr>
        <w:t xml:space="preserve"> and when deemed appropriate</w:t>
      </w:r>
      <w:r w:rsidRPr="00C54A15">
        <w:rPr>
          <w:rFonts w:cs="Arial"/>
          <w:noProof w:val="0"/>
        </w:rPr>
        <w:t xml:space="preserve">, we will work closely with our portfolio companies to develop comprehensive and actionable </w:t>
      </w:r>
      <w:r w:rsidR="00996244">
        <w:rPr>
          <w:rFonts w:cs="Arial"/>
          <w:noProof w:val="0"/>
        </w:rPr>
        <w:t>Greenhouse Gas</w:t>
      </w:r>
      <w:r w:rsidR="00996244" w:rsidRPr="00C54A15">
        <w:rPr>
          <w:rFonts w:cs="Arial"/>
          <w:noProof w:val="0"/>
        </w:rPr>
        <w:t xml:space="preserve"> </w:t>
      </w:r>
      <w:r w:rsidR="00996244">
        <w:rPr>
          <w:rFonts w:cs="Arial"/>
          <w:noProof w:val="0"/>
        </w:rPr>
        <w:t xml:space="preserve">reduction </w:t>
      </w:r>
      <w:r w:rsidRPr="00C54A15">
        <w:rPr>
          <w:rFonts w:cs="Arial"/>
          <w:noProof w:val="0"/>
        </w:rPr>
        <w:t>plans tailored to the</w:t>
      </w:r>
      <w:r w:rsidR="00996244">
        <w:rPr>
          <w:rFonts w:cs="Arial"/>
          <w:noProof w:val="0"/>
        </w:rPr>
        <w:t xml:space="preserve"> industry in which they operate</w:t>
      </w:r>
      <w:r w:rsidR="004C4540" w:rsidRPr="00C54A15">
        <w:rPr>
          <w:rFonts w:cs="Arial"/>
          <w:noProof w:val="0"/>
        </w:rPr>
        <w:t xml:space="preserve">. </w:t>
      </w:r>
      <w:r w:rsidRPr="00C54A15">
        <w:rPr>
          <w:rFonts w:cs="Arial"/>
          <w:noProof w:val="0"/>
        </w:rPr>
        <w:t>These bespoke plans</w:t>
      </w:r>
      <w:r w:rsidR="004D753D" w:rsidRPr="00C54A15">
        <w:rPr>
          <w:rFonts w:cs="Arial"/>
          <w:noProof w:val="0"/>
        </w:rPr>
        <w:t xml:space="preserve"> </w:t>
      </w:r>
      <w:r w:rsidRPr="00C54A15">
        <w:rPr>
          <w:rFonts w:cs="Arial"/>
          <w:noProof w:val="0"/>
        </w:rPr>
        <w:t xml:space="preserve">will serve as roadmaps </w:t>
      </w:r>
      <w:r w:rsidR="00996244">
        <w:rPr>
          <w:rFonts w:cs="Arial"/>
          <w:noProof w:val="0"/>
        </w:rPr>
        <w:t>in</w:t>
      </w:r>
      <w:r w:rsidRPr="00C54A15">
        <w:rPr>
          <w:rFonts w:cs="Arial"/>
          <w:noProof w:val="0"/>
        </w:rPr>
        <w:t xml:space="preserve"> achieving </w:t>
      </w:r>
      <w:r w:rsidR="00D43A11" w:rsidRPr="00C54A15">
        <w:rPr>
          <w:rFonts w:cs="Arial"/>
          <w:noProof w:val="0"/>
        </w:rPr>
        <w:t>climate</w:t>
      </w:r>
      <w:r w:rsidRPr="00C54A15">
        <w:rPr>
          <w:rFonts w:cs="Arial"/>
          <w:noProof w:val="0"/>
        </w:rPr>
        <w:t xml:space="preserve"> goals while considering the unique challenges and opportunities within each industry</w:t>
      </w:r>
      <w:r w:rsidR="00996244">
        <w:rPr>
          <w:rFonts w:cs="Arial"/>
          <w:noProof w:val="0"/>
        </w:rPr>
        <w:t xml:space="preserve"> </w:t>
      </w:r>
      <w:r w:rsidR="00367959">
        <w:rPr>
          <w:rFonts w:cs="Arial"/>
          <w:noProof w:val="0"/>
        </w:rPr>
        <w:t>concerned with our portfolio companies</w:t>
      </w:r>
      <w:r w:rsidR="004D753D" w:rsidRPr="00C54A15">
        <w:rPr>
          <w:rFonts w:cs="Arial"/>
          <w:noProof w:val="0"/>
        </w:rPr>
        <w:t>.</w:t>
      </w:r>
    </w:p>
    <w:p w14:paraId="3CB30109" w14:textId="4DD96D43" w:rsidR="00B57700" w:rsidRPr="00C54A15" w:rsidRDefault="00B57700" w:rsidP="00B57700">
      <w:pPr>
        <w:jc w:val="both"/>
        <w:rPr>
          <w:rFonts w:cs="Arial"/>
          <w:noProof w:val="0"/>
        </w:rPr>
      </w:pPr>
      <w:r w:rsidRPr="00C54A15">
        <w:rPr>
          <w:rFonts w:cs="Arial"/>
          <w:noProof w:val="0"/>
        </w:rPr>
        <w:t>To achieve these targets, Jolt Capital will take the following actions:</w:t>
      </w:r>
    </w:p>
    <w:p w14:paraId="18AD0403" w14:textId="62213BC5" w:rsidR="00B57700" w:rsidRPr="00C54A15" w:rsidRDefault="00B115DB" w:rsidP="004C4540">
      <w:pPr>
        <w:pStyle w:val="ListParagraph"/>
        <w:numPr>
          <w:ilvl w:val="0"/>
          <w:numId w:val="25"/>
        </w:numPr>
        <w:ind w:left="714" w:hanging="357"/>
        <w:contextualSpacing w:val="0"/>
        <w:jc w:val="both"/>
        <w:rPr>
          <w:rFonts w:cs="Arial"/>
          <w:noProof w:val="0"/>
        </w:rPr>
      </w:pPr>
      <w:r w:rsidRPr="00C54A15">
        <w:rPr>
          <w:rFonts w:cs="Arial"/>
          <w:noProof w:val="0"/>
        </w:rPr>
        <w:t>Strengthen and further develop the</w:t>
      </w:r>
      <w:r w:rsidR="00B57700" w:rsidRPr="00C54A15">
        <w:rPr>
          <w:rFonts w:cs="Arial"/>
          <w:noProof w:val="0"/>
        </w:rPr>
        <w:t xml:space="preserve"> ESG due diligence process for our investment decisions, including a comprehensive assessment of climate-related risks and opportunities;</w:t>
      </w:r>
    </w:p>
    <w:p w14:paraId="7CBDC2CC" w14:textId="53D19796" w:rsidR="00B57700" w:rsidRPr="00C54A15" w:rsidRDefault="00B57700" w:rsidP="004C4540">
      <w:pPr>
        <w:pStyle w:val="ListParagraph"/>
        <w:numPr>
          <w:ilvl w:val="0"/>
          <w:numId w:val="25"/>
        </w:numPr>
        <w:ind w:left="714" w:hanging="357"/>
        <w:contextualSpacing w:val="0"/>
        <w:jc w:val="both"/>
        <w:rPr>
          <w:rFonts w:cs="Arial"/>
          <w:noProof w:val="0"/>
        </w:rPr>
      </w:pPr>
      <w:r w:rsidRPr="00C54A15">
        <w:rPr>
          <w:rFonts w:cs="Arial"/>
          <w:noProof w:val="0"/>
        </w:rPr>
        <w:t>Engage with our portfolio companies to identify and prioritize emission reduction opportunities, and provide them with the necessary expertise and resources to implement mitigation strategies;</w:t>
      </w:r>
    </w:p>
    <w:p w14:paraId="396E43C6" w14:textId="75D388A6" w:rsidR="00B57700" w:rsidRPr="00C54A15" w:rsidRDefault="00B115DB" w:rsidP="004C4540">
      <w:pPr>
        <w:pStyle w:val="ListParagraph"/>
        <w:numPr>
          <w:ilvl w:val="0"/>
          <w:numId w:val="25"/>
        </w:numPr>
        <w:ind w:left="714" w:hanging="357"/>
        <w:contextualSpacing w:val="0"/>
        <w:jc w:val="both"/>
        <w:rPr>
          <w:rFonts w:cs="Arial"/>
          <w:noProof w:val="0"/>
        </w:rPr>
      </w:pPr>
      <w:r w:rsidRPr="00C54A15">
        <w:rPr>
          <w:rFonts w:cs="Arial"/>
          <w:noProof w:val="0"/>
        </w:rPr>
        <w:t>Establish</w:t>
      </w:r>
      <w:r w:rsidR="00B57700" w:rsidRPr="00C54A15">
        <w:rPr>
          <w:rFonts w:cs="Arial"/>
          <w:noProof w:val="0"/>
        </w:rPr>
        <w:t xml:space="preserve"> a monitoring and reporting framework to track progress towards our GHG emissions reduction targets,  </w:t>
      </w:r>
      <w:r w:rsidR="00996244">
        <w:rPr>
          <w:rFonts w:cs="Arial"/>
          <w:noProof w:val="0"/>
        </w:rPr>
        <w:t>d</w:t>
      </w:r>
      <w:r w:rsidR="00B57700" w:rsidRPr="00C54A15">
        <w:rPr>
          <w:rFonts w:cs="Arial"/>
          <w:noProof w:val="0"/>
        </w:rPr>
        <w:t>isclos</w:t>
      </w:r>
      <w:r w:rsidR="00996244">
        <w:rPr>
          <w:rFonts w:cs="Arial"/>
          <w:noProof w:val="0"/>
        </w:rPr>
        <w:t>ing</w:t>
      </w:r>
      <w:r w:rsidR="00B57700" w:rsidRPr="00C54A15">
        <w:rPr>
          <w:rFonts w:cs="Arial"/>
          <w:noProof w:val="0"/>
        </w:rPr>
        <w:t xml:space="preserve"> the results </w:t>
      </w:r>
      <w:r w:rsidR="00996244">
        <w:rPr>
          <w:rFonts w:cs="Arial"/>
          <w:noProof w:val="0"/>
        </w:rPr>
        <w:t xml:space="preserve">annually </w:t>
      </w:r>
      <w:r w:rsidR="00B57700" w:rsidRPr="00C54A15">
        <w:rPr>
          <w:rFonts w:cs="Arial"/>
          <w:noProof w:val="0"/>
        </w:rPr>
        <w:t>in our sustainability report;</w:t>
      </w:r>
    </w:p>
    <w:p w14:paraId="42310819" w14:textId="4F2E4D14" w:rsidR="00B57700" w:rsidRPr="00C54A15" w:rsidRDefault="00B57700" w:rsidP="004C4540">
      <w:pPr>
        <w:pStyle w:val="ListParagraph"/>
        <w:numPr>
          <w:ilvl w:val="0"/>
          <w:numId w:val="25"/>
        </w:numPr>
        <w:ind w:left="714" w:hanging="357"/>
        <w:contextualSpacing w:val="0"/>
        <w:jc w:val="both"/>
        <w:rPr>
          <w:rFonts w:cs="Arial"/>
          <w:noProof w:val="0"/>
        </w:rPr>
      </w:pPr>
      <w:r w:rsidRPr="00C54A15">
        <w:rPr>
          <w:rFonts w:cs="Arial"/>
          <w:noProof w:val="0"/>
        </w:rPr>
        <w:t xml:space="preserve">Develop and implement an internal sustainability program to reduce our own environmental footprint, including energy-efficient measures, use of renewable energy, and </w:t>
      </w:r>
      <w:r w:rsidR="00996244">
        <w:rPr>
          <w:rFonts w:cs="Arial"/>
          <w:noProof w:val="0"/>
        </w:rPr>
        <w:t xml:space="preserve">continuing to </w:t>
      </w:r>
      <w:r w:rsidRPr="00C54A15">
        <w:rPr>
          <w:rFonts w:cs="Arial"/>
          <w:noProof w:val="0"/>
        </w:rPr>
        <w:t>reduc</w:t>
      </w:r>
      <w:r w:rsidR="00996244">
        <w:rPr>
          <w:rFonts w:cs="Arial"/>
          <w:noProof w:val="0"/>
        </w:rPr>
        <w:t>e</w:t>
      </w:r>
      <w:r w:rsidRPr="00C54A15">
        <w:rPr>
          <w:rFonts w:cs="Arial"/>
          <w:noProof w:val="0"/>
        </w:rPr>
        <w:t xml:space="preserve"> business travel where possible.</w:t>
      </w:r>
    </w:p>
    <w:p w14:paraId="2B3B5DD6" w14:textId="3E4FCD03" w:rsidR="00045179" w:rsidRPr="00C54A15" w:rsidRDefault="00996244" w:rsidP="00B57700">
      <w:pPr>
        <w:jc w:val="both"/>
        <w:rPr>
          <w:rFonts w:cs="Arial"/>
          <w:noProof w:val="0"/>
        </w:rPr>
      </w:pPr>
      <w:r>
        <w:rPr>
          <w:rFonts w:cs="Arial"/>
          <w:noProof w:val="0"/>
        </w:rPr>
        <w:t xml:space="preserve">We believe that by further developing and strengthening our sustainability objective, through the integration of our ESG considerations and KPI’s in our investment strategy, </w:t>
      </w:r>
      <w:r w:rsidRPr="00C54A15">
        <w:rPr>
          <w:rFonts w:cs="Arial"/>
          <w:noProof w:val="0"/>
        </w:rPr>
        <w:t>Jolt Capital can deliver superior risk-adjusted returns for our investors, while contributing to a sustainable future.</w:t>
      </w:r>
      <w:r w:rsidR="00045179" w:rsidRPr="00C54A15">
        <w:rPr>
          <w:rFonts w:cs="Arial"/>
          <w:noProof w:val="0"/>
        </w:rPr>
        <w:br w:type="page"/>
      </w:r>
    </w:p>
    <w:p w14:paraId="19D5EAC0" w14:textId="07F75FAD" w:rsidR="00833FFE" w:rsidRPr="00C54A15" w:rsidRDefault="00833FFE" w:rsidP="0055573C">
      <w:pPr>
        <w:pStyle w:val="Heading1"/>
        <w:jc w:val="both"/>
        <w:rPr>
          <w:rFonts w:cs="Arial"/>
          <w:noProof w:val="0"/>
        </w:rPr>
      </w:pPr>
      <w:r w:rsidRPr="00C54A15">
        <w:rPr>
          <w:rFonts w:cs="Arial"/>
          <w:noProof w:val="0"/>
        </w:rPr>
        <w:lastRenderedPageBreak/>
        <w:t xml:space="preserve">Our </w:t>
      </w:r>
      <w:r w:rsidR="005002E4" w:rsidRPr="00C54A15">
        <w:rPr>
          <w:rFonts w:cs="Arial"/>
          <w:noProof w:val="0"/>
        </w:rPr>
        <w:t>long-term biodiversity objectives</w:t>
      </w:r>
      <w:bookmarkEnd w:id="7"/>
    </w:p>
    <w:p w14:paraId="56ADEF62" w14:textId="57194F3B" w:rsidR="005002E4" w:rsidRPr="00C54A15" w:rsidRDefault="00C02221" w:rsidP="0055573C">
      <w:pPr>
        <w:jc w:val="both"/>
        <w:rPr>
          <w:rFonts w:cs="Arial"/>
          <w:noProof w:val="0"/>
        </w:rPr>
      </w:pPr>
      <w:r w:rsidRPr="00C54A15">
        <w:rPr>
          <w:rFonts w:cs="Arial"/>
          <w:noProof w:val="0"/>
        </w:rPr>
        <w:t>To date, Jolt Capital has not yet formalized a biodiversity strategy</w:t>
      </w:r>
      <w:r w:rsidR="00EA2D28" w:rsidRPr="00C54A15">
        <w:rPr>
          <w:rFonts w:cs="Arial"/>
          <w:noProof w:val="0"/>
        </w:rPr>
        <w:t xml:space="preserve"> based on the Convention on Biological Diversity</w:t>
      </w:r>
      <w:r w:rsidRPr="00C54A15">
        <w:rPr>
          <w:rFonts w:cs="Arial"/>
          <w:noProof w:val="0"/>
        </w:rPr>
        <w:t>.</w:t>
      </w:r>
    </w:p>
    <w:p w14:paraId="08CE9165" w14:textId="17F4DED9" w:rsidR="003E3E94" w:rsidRPr="00C54A15" w:rsidRDefault="00B115DB" w:rsidP="0055573C">
      <w:pPr>
        <w:jc w:val="both"/>
        <w:rPr>
          <w:rFonts w:cs="Arial"/>
          <w:noProof w:val="0"/>
        </w:rPr>
      </w:pPr>
      <w:r w:rsidRPr="00C54A15">
        <w:rPr>
          <w:rFonts w:cs="Arial"/>
          <w:noProof w:val="0"/>
        </w:rPr>
        <w:t xml:space="preserve">As a result of this, </w:t>
      </w:r>
      <w:r w:rsidR="00B57700" w:rsidRPr="00C54A15">
        <w:rPr>
          <w:rFonts w:cs="Arial"/>
          <w:noProof w:val="0"/>
        </w:rPr>
        <w:t>Jolt Capital does not yet measure nor contribute to reduc</w:t>
      </w:r>
      <w:r w:rsidR="00EA2D28" w:rsidRPr="00C54A15">
        <w:rPr>
          <w:rFonts w:cs="Arial"/>
          <w:noProof w:val="0"/>
        </w:rPr>
        <w:t>ing</w:t>
      </w:r>
      <w:r w:rsidR="00B57700" w:rsidRPr="00C54A15">
        <w:rPr>
          <w:rFonts w:cs="Arial"/>
          <w:noProof w:val="0"/>
        </w:rPr>
        <w:t xml:space="preserve"> the main pressures and impact</w:t>
      </w:r>
      <w:r w:rsidR="00EA2D28" w:rsidRPr="00C54A15">
        <w:rPr>
          <w:rFonts w:cs="Arial"/>
          <w:noProof w:val="0"/>
        </w:rPr>
        <w:t>s</w:t>
      </w:r>
      <w:r w:rsidR="00B57700" w:rsidRPr="00C54A15">
        <w:rPr>
          <w:rFonts w:cs="Arial"/>
          <w:noProof w:val="0"/>
        </w:rPr>
        <w:t xml:space="preserve"> on biodiversity.</w:t>
      </w:r>
    </w:p>
    <w:p w14:paraId="19017C33" w14:textId="77777777" w:rsidR="00636E2F" w:rsidRPr="00C54A15" w:rsidRDefault="00636E2F" w:rsidP="00636E2F">
      <w:pPr>
        <w:pStyle w:val="Heading2"/>
        <w:numPr>
          <w:ilvl w:val="0"/>
          <w:numId w:val="0"/>
        </w:numPr>
        <w:jc w:val="both"/>
        <w:rPr>
          <w:rFonts w:cs="Arial"/>
          <w:noProof w:val="0"/>
        </w:rPr>
      </w:pPr>
    </w:p>
    <w:p w14:paraId="524D3A2C" w14:textId="51D12D55" w:rsidR="005002E4" w:rsidRPr="00C54A15" w:rsidRDefault="00B57700" w:rsidP="00636E2F">
      <w:pPr>
        <w:pStyle w:val="Heading2"/>
        <w:numPr>
          <w:ilvl w:val="0"/>
          <w:numId w:val="41"/>
        </w:numPr>
        <w:rPr>
          <w:noProof w:val="0"/>
        </w:rPr>
      </w:pPr>
      <w:r w:rsidRPr="00C54A15">
        <w:rPr>
          <w:noProof w:val="0"/>
        </w:rPr>
        <w:t xml:space="preserve">Jolt Capital’s plan to </w:t>
      </w:r>
      <w:r w:rsidR="00C54A15" w:rsidRPr="00C54A15">
        <w:rPr>
          <w:noProof w:val="0"/>
        </w:rPr>
        <w:t>address</w:t>
      </w:r>
      <w:r w:rsidRPr="00C54A15">
        <w:rPr>
          <w:noProof w:val="0"/>
        </w:rPr>
        <w:t xml:space="preserve"> biodivers</w:t>
      </w:r>
      <w:r w:rsidR="00376D11" w:rsidRPr="00C54A15">
        <w:rPr>
          <w:noProof w:val="0"/>
        </w:rPr>
        <w:t>i</w:t>
      </w:r>
      <w:r w:rsidRPr="00C54A15">
        <w:rPr>
          <w:noProof w:val="0"/>
        </w:rPr>
        <w:t>ty issues</w:t>
      </w:r>
    </w:p>
    <w:p w14:paraId="33EE6D53" w14:textId="77777777" w:rsidR="000C6C0B" w:rsidRPr="00C54A15" w:rsidRDefault="00B57700" w:rsidP="00B57700">
      <w:pPr>
        <w:jc w:val="both"/>
        <w:rPr>
          <w:rFonts w:cs="Arial"/>
          <w:noProof w:val="0"/>
        </w:rPr>
      </w:pPr>
      <w:r w:rsidRPr="00C54A15">
        <w:rPr>
          <w:rFonts w:cs="Arial"/>
          <w:noProof w:val="0"/>
        </w:rPr>
        <w:t xml:space="preserve">As a responsible investor, Jolt Capital recognizes the urgent need to address the ongoing loss of biodiversity and the critical role of biodiversity in sustaining life and ecosystems. </w:t>
      </w:r>
    </w:p>
    <w:p w14:paraId="26E195C5" w14:textId="5286F55B" w:rsidR="000C6C0B" w:rsidRPr="00C54A15" w:rsidRDefault="000C6C0B" w:rsidP="00B57700">
      <w:pPr>
        <w:jc w:val="both"/>
        <w:rPr>
          <w:rFonts w:cs="Arial"/>
          <w:noProof w:val="0"/>
        </w:rPr>
      </w:pPr>
      <w:r w:rsidRPr="00C54A15">
        <w:rPr>
          <w:rFonts w:cs="Arial"/>
          <w:noProof w:val="0"/>
        </w:rPr>
        <w:t xml:space="preserve">Jolt Capital acknowledges that previous investments made through the Jolt Capital II and III funds were made </w:t>
      </w:r>
      <w:r w:rsidR="00C53F58">
        <w:rPr>
          <w:rFonts w:cs="Arial"/>
          <w:noProof w:val="0"/>
        </w:rPr>
        <w:t xml:space="preserve">at a time when </w:t>
      </w:r>
      <w:r w:rsidRPr="00C54A15">
        <w:rPr>
          <w:rFonts w:cs="Arial"/>
          <w:noProof w:val="0"/>
        </w:rPr>
        <w:t>biodiversity issues</w:t>
      </w:r>
      <w:r w:rsidR="00C53F58">
        <w:rPr>
          <w:rFonts w:cs="Arial"/>
          <w:noProof w:val="0"/>
        </w:rPr>
        <w:t xml:space="preserve"> were not considered</w:t>
      </w:r>
      <w:r w:rsidRPr="00C54A15">
        <w:rPr>
          <w:rFonts w:cs="Arial"/>
          <w:noProof w:val="0"/>
        </w:rPr>
        <w:t xml:space="preserve">. </w:t>
      </w:r>
      <w:r w:rsidR="00C53F58">
        <w:rPr>
          <w:rFonts w:cs="Arial"/>
          <w:noProof w:val="0"/>
        </w:rPr>
        <w:t>Due to the date at which these investments were made and</w:t>
      </w:r>
      <w:r w:rsidR="00C53F58" w:rsidRPr="00C54A15">
        <w:rPr>
          <w:rFonts w:cs="Arial"/>
          <w:noProof w:val="0"/>
        </w:rPr>
        <w:t xml:space="preserve"> </w:t>
      </w:r>
      <w:r w:rsidRPr="00C54A15">
        <w:rPr>
          <w:rFonts w:cs="Arial"/>
          <w:noProof w:val="0"/>
        </w:rPr>
        <w:t xml:space="preserve">the challenges associated with the maturity of these companies and their stage of investment, it </w:t>
      </w:r>
      <w:r w:rsidR="00C53F58">
        <w:rPr>
          <w:rFonts w:cs="Arial"/>
          <w:noProof w:val="0"/>
        </w:rPr>
        <w:t xml:space="preserve">is </w:t>
      </w:r>
      <w:r w:rsidRPr="00C54A15">
        <w:rPr>
          <w:rFonts w:cs="Arial"/>
          <w:noProof w:val="0"/>
        </w:rPr>
        <w:t xml:space="preserve">difficult to fully implement biodiversity commitments retrospectively. </w:t>
      </w:r>
    </w:p>
    <w:p w14:paraId="7D950BA9" w14:textId="08AFFAB7" w:rsidR="000C6C0B" w:rsidRPr="00C54A15" w:rsidRDefault="000C6C0B" w:rsidP="00B57700">
      <w:pPr>
        <w:jc w:val="both"/>
        <w:rPr>
          <w:rFonts w:cs="Arial"/>
          <w:noProof w:val="0"/>
        </w:rPr>
      </w:pPr>
      <w:r w:rsidRPr="00C54A15">
        <w:rPr>
          <w:rFonts w:cs="Arial"/>
          <w:noProof w:val="0"/>
        </w:rPr>
        <w:t xml:space="preserve">However, </w:t>
      </w:r>
      <w:r w:rsidR="00C53F58">
        <w:rPr>
          <w:rFonts w:cs="Arial"/>
          <w:noProof w:val="0"/>
        </w:rPr>
        <w:t xml:space="preserve">Jolt Capital </w:t>
      </w:r>
      <w:r w:rsidRPr="00C54A15">
        <w:rPr>
          <w:rFonts w:cs="Arial"/>
          <w:noProof w:val="0"/>
        </w:rPr>
        <w:t>recogniz</w:t>
      </w:r>
      <w:r w:rsidR="00C53F58">
        <w:rPr>
          <w:rFonts w:cs="Arial"/>
          <w:noProof w:val="0"/>
        </w:rPr>
        <w:t>es</w:t>
      </w:r>
      <w:r w:rsidRPr="00C54A15">
        <w:rPr>
          <w:rFonts w:cs="Arial"/>
          <w:noProof w:val="0"/>
        </w:rPr>
        <w:t xml:space="preserve"> the importance of biodiversity preservation</w:t>
      </w:r>
      <w:r w:rsidR="0054713D">
        <w:rPr>
          <w:rFonts w:cs="Arial"/>
          <w:noProof w:val="0"/>
        </w:rPr>
        <w:t xml:space="preserve">. For this reason, </w:t>
      </w:r>
      <w:r w:rsidR="00C53F58">
        <w:rPr>
          <w:rFonts w:cs="Arial"/>
          <w:noProof w:val="0"/>
        </w:rPr>
        <w:t xml:space="preserve">we </w:t>
      </w:r>
      <w:r w:rsidRPr="00C54A15">
        <w:rPr>
          <w:rFonts w:cs="Arial"/>
          <w:noProof w:val="0"/>
        </w:rPr>
        <w:t>ha</w:t>
      </w:r>
      <w:r w:rsidR="00C53F58">
        <w:rPr>
          <w:rFonts w:cs="Arial"/>
          <w:noProof w:val="0"/>
        </w:rPr>
        <w:t>ve</w:t>
      </w:r>
      <w:r w:rsidRPr="00C54A15">
        <w:rPr>
          <w:rFonts w:cs="Arial"/>
          <w:noProof w:val="0"/>
        </w:rPr>
        <w:t xml:space="preserve"> decided to prioritize the integration of biodiversity objectives into the Jolt Capital IV fund and all future investments. By doing so, the firm aims to ensure that its investment activities actively contribute to biodiversity conservation and support sustainable practices. </w:t>
      </w:r>
    </w:p>
    <w:p w14:paraId="7C32CABB" w14:textId="31D12D88" w:rsidR="00B57700" w:rsidRPr="00C54A15" w:rsidRDefault="000C6C0B" w:rsidP="00B57700">
      <w:pPr>
        <w:jc w:val="both"/>
        <w:rPr>
          <w:rFonts w:cs="Arial"/>
          <w:noProof w:val="0"/>
        </w:rPr>
      </w:pPr>
      <w:r w:rsidRPr="00C54A15">
        <w:rPr>
          <w:rFonts w:cs="Arial"/>
          <w:noProof w:val="0"/>
        </w:rPr>
        <w:t xml:space="preserve">This strategic shift demonstrates Jolt Capital's commitment to responsible investing and aligning its portfolio with the preservation of biodiversity. </w:t>
      </w:r>
      <w:r w:rsidR="00B57700" w:rsidRPr="00C54A15">
        <w:rPr>
          <w:rFonts w:cs="Arial"/>
          <w:noProof w:val="0"/>
        </w:rPr>
        <w:t xml:space="preserve">To formalize our commitment </w:t>
      </w:r>
      <w:r w:rsidR="00C53F58">
        <w:rPr>
          <w:rFonts w:cs="Arial"/>
          <w:noProof w:val="0"/>
        </w:rPr>
        <w:t>in</w:t>
      </w:r>
      <w:r w:rsidR="00B57700" w:rsidRPr="00C54A15">
        <w:rPr>
          <w:rFonts w:cs="Arial"/>
          <w:noProof w:val="0"/>
        </w:rPr>
        <w:t xml:space="preserve"> protecting biodiversity, Jolt Capital will develop and implement a biodiversity strategy </w:t>
      </w:r>
      <w:r w:rsidR="00C53F58">
        <w:rPr>
          <w:rFonts w:cs="Arial"/>
          <w:noProof w:val="0"/>
        </w:rPr>
        <w:t>guided by</w:t>
      </w:r>
      <w:r w:rsidR="00B57700" w:rsidRPr="00C54A15">
        <w:rPr>
          <w:rFonts w:cs="Arial"/>
          <w:noProof w:val="0"/>
        </w:rPr>
        <w:t xml:space="preserve"> the Convention on Biological Diversity</w:t>
      </w:r>
      <w:r w:rsidR="00875BDD" w:rsidRPr="00C54A15">
        <w:rPr>
          <w:rFonts w:cs="Arial"/>
          <w:noProof w:val="0"/>
        </w:rPr>
        <w:t xml:space="preserve"> by 2026</w:t>
      </w:r>
      <w:r w:rsidR="00B57700" w:rsidRPr="00C54A15">
        <w:rPr>
          <w:rFonts w:cs="Arial"/>
          <w:noProof w:val="0"/>
        </w:rPr>
        <w:t>.</w:t>
      </w:r>
    </w:p>
    <w:p w14:paraId="46C93084" w14:textId="40CC7659" w:rsidR="00B57700" w:rsidRPr="00C54A15" w:rsidRDefault="00B57700" w:rsidP="00B57700">
      <w:pPr>
        <w:jc w:val="both"/>
        <w:rPr>
          <w:rFonts w:cs="Arial"/>
          <w:noProof w:val="0"/>
        </w:rPr>
      </w:pPr>
      <w:r w:rsidRPr="00C54A15">
        <w:rPr>
          <w:rFonts w:cs="Arial"/>
          <w:noProof w:val="0"/>
        </w:rPr>
        <w:t>Jolt Capital will take the following steps:</w:t>
      </w:r>
    </w:p>
    <w:p w14:paraId="3B2FC076" w14:textId="11B4C2A6" w:rsidR="00B57700" w:rsidRPr="00C54A15" w:rsidRDefault="00B57700" w:rsidP="00CA3F81">
      <w:pPr>
        <w:pStyle w:val="ListParagraph"/>
        <w:numPr>
          <w:ilvl w:val="0"/>
          <w:numId w:val="27"/>
        </w:numPr>
        <w:ind w:left="714" w:hanging="357"/>
        <w:contextualSpacing w:val="0"/>
        <w:jc w:val="both"/>
        <w:rPr>
          <w:rFonts w:cs="Arial"/>
          <w:noProof w:val="0"/>
        </w:rPr>
      </w:pPr>
      <w:r w:rsidRPr="00C54A15">
        <w:rPr>
          <w:rFonts w:cs="Arial"/>
          <w:noProof w:val="0"/>
        </w:rPr>
        <w:t xml:space="preserve">Develop and implement a Biodiversity Policy: setting objectives and targets for biodiversity conservation, identifying key biodiversity </w:t>
      </w:r>
      <w:r w:rsidR="00C54A15" w:rsidRPr="00C54A15">
        <w:rPr>
          <w:rFonts w:cs="Arial"/>
          <w:noProof w:val="0"/>
        </w:rPr>
        <w:t>areas,</w:t>
      </w:r>
      <w:r w:rsidRPr="00C54A15">
        <w:rPr>
          <w:rFonts w:cs="Arial"/>
          <w:noProof w:val="0"/>
        </w:rPr>
        <w:t xml:space="preserve"> and engaging with stakeholders;</w:t>
      </w:r>
    </w:p>
    <w:p w14:paraId="750C4C2D" w14:textId="224294EB" w:rsidR="00B57700" w:rsidRPr="00C54A15" w:rsidRDefault="00B57700" w:rsidP="00CA3F81">
      <w:pPr>
        <w:pStyle w:val="ListParagraph"/>
        <w:numPr>
          <w:ilvl w:val="0"/>
          <w:numId w:val="27"/>
        </w:numPr>
        <w:ind w:left="714" w:hanging="357"/>
        <w:contextualSpacing w:val="0"/>
        <w:jc w:val="both"/>
        <w:rPr>
          <w:rFonts w:cs="Arial"/>
          <w:noProof w:val="0"/>
        </w:rPr>
      </w:pPr>
      <w:r w:rsidRPr="00C54A15">
        <w:rPr>
          <w:rFonts w:cs="Arial"/>
          <w:noProof w:val="0"/>
        </w:rPr>
        <w:t>Identify Biodiversity Risks and Opportunities: conduct</w:t>
      </w:r>
      <w:r w:rsidR="001D7DBD">
        <w:rPr>
          <w:rFonts w:cs="Arial"/>
          <w:noProof w:val="0"/>
        </w:rPr>
        <w:t>ing</w:t>
      </w:r>
      <w:r w:rsidRPr="00C54A15">
        <w:rPr>
          <w:rFonts w:cs="Arial"/>
          <w:noProof w:val="0"/>
        </w:rPr>
        <w:t xml:space="preserve"> a biodiversity assessment to identify the main biodiversity pressures and risks across our </w:t>
      </w:r>
      <w:r w:rsidR="0047611E" w:rsidRPr="00C54A15">
        <w:rPr>
          <w:rFonts w:cs="Arial"/>
          <w:noProof w:val="0"/>
        </w:rPr>
        <w:t xml:space="preserve">Jolt Capital IV fund and all future </w:t>
      </w:r>
      <w:r w:rsidRPr="00C54A15">
        <w:rPr>
          <w:rFonts w:cs="Arial"/>
          <w:noProof w:val="0"/>
        </w:rPr>
        <w:t>investment</w:t>
      </w:r>
      <w:r w:rsidR="0047611E" w:rsidRPr="00C54A15">
        <w:rPr>
          <w:rFonts w:cs="Arial"/>
          <w:noProof w:val="0"/>
        </w:rPr>
        <w:t>s</w:t>
      </w:r>
      <w:r w:rsidRPr="00C54A15">
        <w:rPr>
          <w:rFonts w:cs="Arial"/>
          <w:noProof w:val="0"/>
        </w:rPr>
        <w:t>, including our own operations. This assessment will inform the development of specific biodiversity conservation measures for our portfolio companies;</w:t>
      </w:r>
    </w:p>
    <w:p w14:paraId="0BC4A1BD" w14:textId="5A24CBEB" w:rsidR="00B57700" w:rsidRPr="00C54A15" w:rsidRDefault="00B57700" w:rsidP="00CA3F81">
      <w:pPr>
        <w:pStyle w:val="ListParagraph"/>
        <w:numPr>
          <w:ilvl w:val="0"/>
          <w:numId w:val="27"/>
        </w:numPr>
        <w:ind w:left="714" w:hanging="357"/>
        <w:contextualSpacing w:val="0"/>
        <w:jc w:val="both"/>
        <w:rPr>
          <w:rFonts w:cs="Arial"/>
          <w:noProof w:val="0"/>
        </w:rPr>
      </w:pPr>
      <w:r w:rsidRPr="00C54A15">
        <w:rPr>
          <w:rFonts w:cs="Arial"/>
          <w:noProof w:val="0"/>
        </w:rPr>
        <w:t xml:space="preserve">Integrate Biodiversity </w:t>
      </w:r>
      <w:r w:rsidR="00C53F58">
        <w:rPr>
          <w:rFonts w:cs="Arial"/>
          <w:noProof w:val="0"/>
        </w:rPr>
        <w:t xml:space="preserve">Issues </w:t>
      </w:r>
      <w:r w:rsidRPr="00C54A15">
        <w:rPr>
          <w:rFonts w:cs="Arial"/>
          <w:noProof w:val="0"/>
        </w:rPr>
        <w:t>into our Investment Decision-making Process: integrat</w:t>
      </w:r>
      <w:r w:rsidR="001D7DBD">
        <w:rPr>
          <w:rFonts w:cs="Arial"/>
          <w:noProof w:val="0"/>
        </w:rPr>
        <w:t>ing</w:t>
      </w:r>
      <w:r w:rsidRPr="00C54A15">
        <w:rPr>
          <w:rFonts w:cs="Arial"/>
          <w:noProof w:val="0"/>
        </w:rPr>
        <w:t xml:space="preserve"> biodiversity considerations into our investment decision-making process, including a comprehensive assessment of the biodiversity impact of our investments </w:t>
      </w:r>
      <w:r w:rsidR="00C53F58">
        <w:rPr>
          <w:rFonts w:cs="Arial"/>
          <w:noProof w:val="0"/>
        </w:rPr>
        <w:t>in the context of our</w:t>
      </w:r>
      <w:r w:rsidRPr="00C54A15">
        <w:rPr>
          <w:rFonts w:cs="Arial"/>
          <w:noProof w:val="0"/>
        </w:rPr>
        <w:t xml:space="preserve"> due diligence </w:t>
      </w:r>
      <w:r w:rsidR="00C53F58">
        <w:rPr>
          <w:rFonts w:cs="Arial"/>
          <w:noProof w:val="0"/>
        </w:rPr>
        <w:t xml:space="preserve">prior to investments, this will include </w:t>
      </w:r>
      <w:r w:rsidRPr="00C54A15">
        <w:rPr>
          <w:rFonts w:cs="Arial"/>
          <w:noProof w:val="0"/>
        </w:rPr>
        <w:t>potential biodiversity risks and opportunities</w:t>
      </w:r>
      <w:r w:rsidR="0047611E" w:rsidRPr="00C54A15">
        <w:rPr>
          <w:rFonts w:cs="Arial"/>
          <w:noProof w:val="0"/>
        </w:rPr>
        <w:t>.</w:t>
      </w:r>
    </w:p>
    <w:p w14:paraId="0B6B0932" w14:textId="77777777" w:rsidR="00CA3F81" w:rsidRPr="00C54A15" w:rsidRDefault="00CA3F81" w:rsidP="00B57700">
      <w:pPr>
        <w:jc w:val="both"/>
        <w:rPr>
          <w:rFonts w:cs="Arial"/>
          <w:noProof w:val="0"/>
        </w:rPr>
      </w:pPr>
    </w:p>
    <w:p w14:paraId="5476BF07" w14:textId="38BB7B04" w:rsidR="00B57700" w:rsidRPr="00C54A15" w:rsidRDefault="00B57700" w:rsidP="00B57700">
      <w:pPr>
        <w:jc w:val="both"/>
        <w:rPr>
          <w:rFonts w:cs="Arial"/>
          <w:noProof w:val="0"/>
        </w:rPr>
      </w:pPr>
      <w:r w:rsidRPr="00C54A15">
        <w:rPr>
          <w:rFonts w:cs="Arial"/>
          <w:noProof w:val="0"/>
        </w:rPr>
        <w:t>To identify, measure and act on the main biodiversity pressures of Jolt Capital and its portfolio companies, we will undertake the following actions:</w:t>
      </w:r>
    </w:p>
    <w:p w14:paraId="7B82922B" w14:textId="51CD5526" w:rsidR="00B57700" w:rsidRPr="00C54A15" w:rsidRDefault="00B57700" w:rsidP="00CA3F81">
      <w:pPr>
        <w:pStyle w:val="ListParagraph"/>
        <w:numPr>
          <w:ilvl w:val="0"/>
          <w:numId w:val="28"/>
        </w:numPr>
        <w:ind w:left="714" w:hanging="357"/>
        <w:contextualSpacing w:val="0"/>
        <w:jc w:val="both"/>
        <w:rPr>
          <w:rFonts w:cs="Arial"/>
          <w:noProof w:val="0"/>
        </w:rPr>
      </w:pPr>
      <w:r w:rsidRPr="00C54A15">
        <w:rPr>
          <w:rFonts w:cs="Arial"/>
          <w:noProof w:val="0"/>
        </w:rPr>
        <w:t>Develop a Biodiversity Monitoring Program: Jolt Capital will develop a biodiversity monitoring program to identify and measure the main biodiversity pressures of our own operations and portfolio companies, including habitat loss, invasive species, pollution, and overexploitation;</w:t>
      </w:r>
    </w:p>
    <w:p w14:paraId="45281269" w14:textId="77777777" w:rsidR="004E4FB2" w:rsidRPr="00C54A15" w:rsidRDefault="004E4FB2" w:rsidP="004E4FB2">
      <w:pPr>
        <w:pStyle w:val="ListParagraph"/>
        <w:numPr>
          <w:ilvl w:val="0"/>
          <w:numId w:val="28"/>
        </w:numPr>
        <w:ind w:left="714" w:hanging="357"/>
        <w:contextualSpacing w:val="0"/>
        <w:jc w:val="both"/>
        <w:rPr>
          <w:rFonts w:cs="Arial"/>
          <w:noProof w:val="0"/>
        </w:rPr>
      </w:pPr>
      <w:r w:rsidRPr="00C54A15">
        <w:rPr>
          <w:rFonts w:cs="Arial"/>
          <w:noProof w:val="0"/>
        </w:rPr>
        <w:t xml:space="preserve">Conduct Biodiversity </w:t>
      </w:r>
      <w:r>
        <w:rPr>
          <w:rFonts w:cs="Arial"/>
          <w:noProof w:val="0"/>
        </w:rPr>
        <w:t>Materiality</w:t>
      </w:r>
      <w:r w:rsidRPr="00C54A15">
        <w:rPr>
          <w:rFonts w:cs="Arial"/>
          <w:noProof w:val="0"/>
        </w:rPr>
        <w:t xml:space="preserve"> Assessments: We will conduct biodiversity </w:t>
      </w:r>
      <w:r>
        <w:rPr>
          <w:rFonts w:cs="Arial"/>
          <w:noProof w:val="0"/>
        </w:rPr>
        <w:t>materiality</w:t>
      </w:r>
      <w:r w:rsidRPr="00C54A15">
        <w:rPr>
          <w:rFonts w:cs="Arial"/>
          <w:noProof w:val="0"/>
        </w:rPr>
        <w:t xml:space="preserve"> assessments on our own operations and those of our portfolio companies, to identify </w:t>
      </w:r>
      <w:r>
        <w:rPr>
          <w:rFonts w:cs="Arial"/>
          <w:noProof w:val="0"/>
        </w:rPr>
        <w:t xml:space="preserve">those that may have </w:t>
      </w:r>
      <w:r w:rsidRPr="00C54A15">
        <w:rPr>
          <w:rFonts w:cs="Arial"/>
          <w:noProof w:val="0"/>
        </w:rPr>
        <w:t>negative impacts on biodiversity;</w:t>
      </w:r>
    </w:p>
    <w:p w14:paraId="76553B3A" w14:textId="287F6DCF" w:rsidR="00B57700" w:rsidRPr="00C54A15" w:rsidRDefault="00B57700" w:rsidP="00CA3F81">
      <w:pPr>
        <w:pStyle w:val="ListParagraph"/>
        <w:numPr>
          <w:ilvl w:val="0"/>
          <w:numId w:val="28"/>
        </w:numPr>
        <w:ind w:left="714" w:hanging="357"/>
        <w:contextualSpacing w:val="0"/>
        <w:jc w:val="both"/>
        <w:rPr>
          <w:rFonts w:cs="Arial"/>
          <w:noProof w:val="0"/>
        </w:rPr>
      </w:pPr>
      <w:r w:rsidRPr="00C54A15">
        <w:rPr>
          <w:rFonts w:cs="Arial"/>
          <w:noProof w:val="0"/>
        </w:rPr>
        <w:lastRenderedPageBreak/>
        <w:t>Implement Biodiversity Conservation Measures: Jolt Capital will work with our portfolio companies to develop and implement biodiversity conservation measures, such as habitat restoration, biodiversity offsetting, and sustainable land use practices</w:t>
      </w:r>
      <w:r w:rsidR="004E4FB2">
        <w:rPr>
          <w:rFonts w:cs="Arial"/>
          <w:noProof w:val="0"/>
        </w:rPr>
        <w:t>.</w:t>
      </w:r>
    </w:p>
    <w:p w14:paraId="19808393" w14:textId="4C6DC6E5" w:rsidR="00A52507" w:rsidRPr="00C54A15" w:rsidRDefault="00B57700" w:rsidP="00B57700">
      <w:pPr>
        <w:jc w:val="both"/>
        <w:rPr>
          <w:rFonts w:cs="Arial"/>
          <w:noProof w:val="0"/>
        </w:rPr>
      </w:pPr>
      <w:r w:rsidRPr="00C54A15">
        <w:rPr>
          <w:rFonts w:cs="Arial"/>
          <w:noProof w:val="0"/>
        </w:rPr>
        <w:t>We believe that by formalizing our commitment to biodiversity conservation and integrating biodiversity considerations into our investment decision-making process, Jolt Capital can contribute to a more sustainable future for all.</w:t>
      </w:r>
      <w:r w:rsidR="00A52507" w:rsidRPr="00C54A15">
        <w:rPr>
          <w:rFonts w:cs="Arial"/>
          <w:noProof w:val="0"/>
        </w:rPr>
        <w:br w:type="page"/>
      </w:r>
    </w:p>
    <w:p w14:paraId="6F82AC74" w14:textId="32CA64D5" w:rsidR="00832BA7" w:rsidRPr="00C54A15" w:rsidRDefault="00832BA7" w:rsidP="0055573C">
      <w:pPr>
        <w:pStyle w:val="Heading1"/>
        <w:jc w:val="both"/>
        <w:rPr>
          <w:rFonts w:cs="Arial"/>
          <w:noProof w:val="0"/>
        </w:rPr>
      </w:pPr>
      <w:bookmarkStart w:id="8" w:name="_Toc131689947"/>
      <w:r w:rsidRPr="00C54A15">
        <w:rPr>
          <w:rFonts w:cs="Arial"/>
          <w:noProof w:val="0"/>
        </w:rPr>
        <w:lastRenderedPageBreak/>
        <w:t>Our risk management process</w:t>
      </w:r>
      <w:bookmarkEnd w:id="8"/>
    </w:p>
    <w:p w14:paraId="5410C1A6" w14:textId="3DF893BC" w:rsidR="002336D6" w:rsidRPr="00C54A15" w:rsidRDefault="008168F4" w:rsidP="00737333">
      <w:pPr>
        <w:pStyle w:val="Heading2"/>
        <w:numPr>
          <w:ilvl w:val="0"/>
          <w:numId w:val="42"/>
        </w:numPr>
        <w:jc w:val="both"/>
        <w:rPr>
          <w:rFonts w:cs="Arial"/>
          <w:noProof w:val="0"/>
        </w:rPr>
      </w:pPr>
      <w:r w:rsidRPr="00C54A15">
        <w:rPr>
          <w:rFonts w:cs="Arial"/>
          <w:noProof w:val="0"/>
        </w:rPr>
        <w:t xml:space="preserve">Our process for identifying, assessing, </w:t>
      </w:r>
      <w:r w:rsidR="00C54A15" w:rsidRPr="00C54A15">
        <w:rPr>
          <w:rFonts w:cs="Arial"/>
          <w:noProof w:val="0"/>
        </w:rPr>
        <w:t>prioritising,</w:t>
      </w:r>
      <w:r w:rsidRPr="00C54A15">
        <w:rPr>
          <w:rFonts w:cs="Arial"/>
          <w:noProof w:val="0"/>
        </w:rPr>
        <w:t xml:space="preserve"> and managing ESG risks</w:t>
      </w:r>
    </w:p>
    <w:p w14:paraId="2E1855A5" w14:textId="2C531A8A" w:rsidR="006F7B95" w:rsidRPr="00C54A15" w:rsidRDefault="006F7B95" w:rsidP="00CD57AE">
      <w:pPr>
        <w:keepNext/>
        <w:jc w:val="both"/>
        <w:rPr>
          <w:rFonts w:cs="Arial"/>
          <w:noProof w:val="0"/>
        </w:rPr>
      </w:pPr>
      <w:r w:rsidRPr="00C54A15">
        <w:rPr>
          <w:rFonts w:cs="Arial"/>
          <w:noProof w:val="0"/>
        </w:rPr>
        <w:t xml:space="preserve">Jolt Capital has implemented a </w:t>
      </w:r>
      <w:r w:rsidR="00B115DB" w:rsidRPr="00C54A15">
        <w:rPr>
          <w:rFonts w:cs="Arial"/>
          <w:noProof w:val="0"/>
        </w:rPr>
        <w:t>specifically tailor</w:t>
      </w:r>
      <w:r w:rsidR="00A47606" w:rsidRPr="00C54A15">
        <w:rPr>
          <w:rFonts w:cs="Arial"/>
          <w:noProof w:val="0"/>
        </w:rPr>
        <w:t>ed</w:t>
      </w:r>
      <w:r w:rsidR="00B115DB" w:rsidRPr="00C54A15">
        <w:rPr>
          <w:rFonts w:cs="Arial"/>
          <w:noProof w:val="0"/>
        </w:rPr>
        <w:t xml:space="preserve"> </w:t>
      </w:r>
      <w:r w:rsidRPr="00C54A15">
        <w:rPr>
          <w:rFonts w:cs="Arial"/>
          <w:noProof w:val="0"/>
        </w:rPr>
        <w:t xml:space="preserve">risk matrix </w:t>
      </w:r>
      <w:r w:rsidR="005F5DC6">
        <w:rPr>
          <w:rFonts w:cs="Arial"/>
          <w:noProof w:val="0"/>
        </w:rPr>
        <w:t>forcing a discount to</w:t>
      </w:r>
      <w:r w:rsidR="005F5DC6" w:rsidRPr="00C54A15">
        <w:rPr>
          <w:rFonts w:cs="Arial"/>
          <w:noProof w:val="0"/>
        </w:rPr>
        <w:t xml:space="preserve"> </w:t>
      </w:r>
      <w:r w:rsidRPr="00C54A15">
        <w:rPr>
          <w:rFonts w:cs="Arial"/>
          <w:noProof w:val="0"/>
        </w:rPr>
        <w:t xml:space="preserve">its </w:t>
      </w:r>
      <w:r w:rsidR="005F5DC6">
        <w:rPr>
          <w:rFonts w:cs="Arial"/>
          <w:noProof w:val="0"/>
        </w:rPr>
        <w:t xml:space="preserve">portfolio companies. This matrix </w:t>
      </w:r>
      <w:r w:rsidRPr="00C54A15">
        <w:rPr>
          <w:rFonts w:cs="Arial"/>
          <w:noProof w:val="0"/>
        </w:rPr>
        <w:t>effectively identif</w:t>
      </w:r>
      <w:r w:rsidR="005F5DC6">
        <w:rPr>
          <w:rFonts w:cs="Arial"/>
          <w:noProof w:val="0"/>
        </w:rPr>
        <w:t>ies</w:t>
      </w:r>
      <w:r w:rsidRPr="00C54A15">
        <w:rPr>
          <w:rFonts w:cs="Arial"/>
          <w:noProof w:val="0"/>
        </w:rPr>
        <w:t>, evaluate</w:t>
      </w:r>
      <w:r w:rsidR="005F5DC6">
        <w:rPr>
          <w:rFonts w:cs="Arial"/>
          <w:noProof w:val="0"/>
        </w:rPr>
        <w:t>s</w:t>
      </w:r>
      <w:r w:rsidRPr="00C54A15">
        <w:rPr>
          <w:rFonts w:cs="Arial"/>
          <w:noProof w:val="0"/>
        </w:rPr>
        <w:t xml:space="preserve">, </w:t>
      </w:r>
      <w:r w:rsidR="00C54A15" w:rsidRPr="00C54A15">
        <w:rPr>
          <w:rFonts w:cs="Arial"/>
          <w:noProof w:val="0"/>
        </w:rPr>
        <w:t>prioritize</w:t>
      </w:r>
      <w:r w:rsidR="005F5DC6">
        <w:rPr>
          <w:rFonts w:cs="Arial"/>
          <w:noProof w:val="0"/>
        </w:rPr>
        <w:t>s</w:t>
      </w:r>
      <w:r w:rsidR="00C54A15" w:rsidRPr="00C54A15">
        <w:rPr>
          <w:rFonts w:cs="Arial"/>
          <w:noProof w:val="0"/>
        </w:rPr>
        <w:t>,</w:t>
      </w:r>
      <w:r w:rsidRPr="00C54A15">
        <w:rPr>
          <w:rFonts w:cs="Arial"/>
          <w:noProof w:val="0"/>
        </w:rPr>
        <w:t xml:space="preserve"> and manage</w:t>
      </w:r>
      <w:r w:rsidR="005F5DC6">
        <w:rPr>
          <w:rFonts w:cs="Arial"/>
          <w:noProof w:val="0"/>
        </w:rPr>
        <w:t>s</w:t>
      </w:r>
      <w:r w:rsidRPr="00C54A15">
        <w:rPr>
          <w:rFonts w:cs="Arial"/>
          <w:noProof w:val="0"/>
        </w:rPr>
        <w:t xml:space="preserve"> ESG risks</w:t>
      </w:r>
      <w:r w:rsidR="005F5DC6">
        <w:rPr>
          <w:rFonts w:cs="Arial"/>
          <w:noProof w:val="0"/>
        </w:rPr>
        <w:t xml:space="preserve"> among others : it </w:t>
      </w:r>
      <w:r w:rsidRPr="00C54A15">
        <w:rPr>
          <w:rFonts w:cs="Arial"/>
          <w:noProof w:val="0"/>
        </w:rPr>
        <w:t>comprises six key factors, of which three pertain to ESG-related risks, namely supply chain risks, environmental and emissions risks, and social risks.</w:t>
      </w:r>
    </w:p>
    <w:p w14:paraId="238A9A5D" w14:textId="1CF2402D" w:rsidR="00CD57AE" w:rsidRPr="00C54A15" w:rsidRDefault="00CD57AE" w:rsidP="00CD57AE">
      <w:pPr>
        <w:keepNext/>
        <w:jc w:val="both"/>
        <w:rPr>
          <w:noProof w:val="0"/>
        </w:rPr>
      </w:pPr>
      <w:r w:rsidRPr="00C54A15">
        <w:drawing>
          <wp:inline distT="0" distB="0" distL="0" distR="0" wp14:anchorId="16AF748B" wp14:editId="3886F4F1">
            <wp:extent cx="5941060" cy="22904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1060" cy="2290445"/>
                    </a:xfrm>
                    <a:prstGeom prst="rect">
                      <a:avLst/>
                    </a:prstGeom>
                  </pic:spPr>
                </pic:pic>
              </a:graphicData>
            </a:graphic>
          </wp:inline>
        </w:drawing>
      </w:r>
    </w:p>
    <w:p w14:paraId="58387162" w14:textId="283D7B98" w:rsidR="00CD57AE" w:rsidRPr="00C54A15" w:rsidRDefault="00CD57AE" w:rsidP="00CD57AE">
      <w:pPr>
        <w:pStyle w:val="Caption"/>
        <w:jc w:val="center"/>
        <w:rPr>
          <w:rFonts w:cs="Arial"/>
          <w:noProof w:val="0"/>
        </w:rPr>
      </w:pPr>
      <w:bookmarkStart w:id="9" w:name="_Ref134004477"/>
      <w:r w:rsidRPr="00C54A15">
        <w:rPr>
          <w:noProof w:val="0"/>
        </w:rPr>
        <w:t xml:space="preserve">Figure </w:t>
      </w:r>
      <w:r w:rsidRPr="00C54A15">
        <w:rPr>
          <w:noProof w:val="0"/>
        </w:rPr>
        <w:fldChar w:fldCharType="begin"/>
      </w:r>
      <w:r w:rsidRPr="00C54A15">
        <w:rPr>
          <w:noProof w:val="0"/>
        </w:rPr>
        <w:instrText xml:space="preserve"> SEQ Figure \* ARABIC </w:instrText>
      </w:r>
      <w:r w:rsidRPr="00C54A15">
        <w:rPr>
          <w:noProof w:val="0"/>
        </w:rPr>
        <w:fldChar w:fldCharType="separate"/>
      </w:r>
      <w:r w:rsidR="004C4669" w:rsidRPr="00C54A15">
        <w:rPr>
          <w:noProof w:val="0"/>
        </w:rPr>
        <w:t>4</w:t>
      </w:r>
      <w:r w:rsidRPr="00C54A15">
        <w:rPr>
          <w:noProof w:val="0"/>
        </w:rPr>
        <w:fldChar w:fldCharType="end"/>
      </w:r>
      <w:bookmarkEnd w:id="9"/>
      <w:r w:rsidRPr="00C54A15">
        <w:rPr>
          <w:noProof w:val="0"/>
        </w:rPr>
        <w:t xml:space="preserve">: Jolt Capital risk </w:t>
      </w:r>
      <w:r w:rsidR="00C54A15" w:rsidRPr="00C54A15">
        <w:rPr>
          <w:noProof w:val="0"/>
        </w:rPr>
        <w:t>assessment</w:t>
      </w:r>
      <w:r w:rsidRPr="00C54A15">
        <w:rPr>
          <w:noProof w:val="0"/>
        </w:rPr>
        <w:t xml:space="preserve"> matrix</w:t>
      </w:r>
    </w:p>
    <w:p w14:paraId="197969B3" w14:textId="77777777" w:rsidR="00737333" w:rsidRPr="00C54A15" w:rsidRDefault="00737333" w:rsidP="00CD57AE">
      <w:pPr>
        <w:jc w:val="both"/>
        <w:rPr>
          <w:rFonts w:cs="Arial"/>
          <w:noProof w:val="0"/>
        </w:rPr>
      </w:pPr>
    </w:p>
    <w:p w14:paraId="50A63D21" w14:textId="469DFCC3" w:rsidR="00CD57AE" w:rsidRDefault="006F7B95" w:rsidP="00CD57AE">
      <w:pPr>
        <w:jc w:val="both"/>
        <w:rPr>
          <w:rFonts w:cs="Arial"/>
          <w:noProof w:val="0"/>
        </w:rPr>
      </w:pPr>
      <w:r w:rsidRPr="00C54A15">
        <w:rPr>
          <w:rFonts w:cs="Arial"/>
          <w:noProof w:val="0"/>
        </w:rPr>
        <w:t xml:space="preserve">On </w:t>
      </w:r>
      <w:r w:rsidR="00C54A15" w:rsidRPr="00C54A15">
        <w:rPr>
          <w:rFonts w:cs="Arial"/>
          <w:noProof w:val="0"/>
        </w:rPr>
        <w:t>a</w:t>
      </w:r>
      <w:r w:rsidRPr="00C54A15">
        <w:rPr>
          <w:rFonts w:cs="Arial"/>
          <w:noProof w:val="0"/>
        </w:rPr>
        <w:t xml:space="preserve"> </w:t>
      </w:r>
      <w:r w:rsidR="00B115DB" w:rsidRPr="00C54A15">
        <w:rPr>
          <w:rFonts w:cs="Arial"/>
          <w:noProof w:val="0"/>
        </w:rPr>
        <w:t xml:space="preserve">quarterly </w:t>
      </w:r>
      <w:r w:rsidRPr="00C54A15">
        <w:rPr>
          <w:rFonts w:cs="Arial"/>
          <w:noProof w:val="0"/>
        </w:rPr>
        <w:t>basis, the matrix is utilized to assess the equity value of portfolio companies. In cases where ESG-related risks are identified, they can result in the imposition of discounts to the company's valuation, as depicted in</w:t>
      </w:r>
      <w:r w:rsidR="00CD57AE" w:rsidRPr="00C54A15">
        <w:rPr>
          <w:rFonts w:cs="Arial"/>
          <w:noProof w:val="0"/>
        </w:rPr>
        <w:t xml:space="preserve"> </w:t>
      </w:r>
      <w:r w:rsidR="00CD57AE" w:rsidRPr="00C54A15">
        <w:rPr>
          <w:rFonts w:cs="Arial"/>
          <w:noProof w:val="0"/>
        </w:rPr>
        <w:fldChar w:fldCharType="begin"/>
      </w:r>
      <w:r w:rsidR="00CD57AE" w:rsidRPr="00C54A15">
        <w:rPr>
          <w:rFonts w:cs="Arial"/>
          <w:noProof w:val="0"/>
        </w:rPr>
        <w:instrText xml:space="preserve"> REF _Ref134004477 \h </w:instrText>
      </w:r>
      <w:r w:rsidR="00CD57AE" w:rsidRPr="00C54A15">
        <w:rPr>
          <w:rFonts w:cs="Arial"/>
          <w:noProof w:val="0"/>
        </w:rPr>
      </w:r>
      <w:r w:rsidR="00CD57AE" w:rsidRPr="00C54A15">
        <w:rPr>
          <w:rFonts w:cs="Arial"/>
          <w:noProof w:val="0"/>
        </w:rPr>
        <w:fldChar w:fldCharType="separate"/>
      </w:r>
      <w:r w:rsidR="00EA2D28" w:rsidRPr="00C54A15">
        <w:rPr>
          <w:noProof w:val="0"/>
        </w:rPr>
        <w:t>Figure 4</w:t>
      </w:r>
      <w:r w:rsidR="00CD57AE" w:rsidRPr="00C54A15">
        <w:rPr>
          <w:rFonts w:cs="Arial"/>
          <w:noProof w:val="0"/>
        </w:rPr>
        <w:fldChar w:fldCharType="end"/>
      </w:r>
      <w:r w:rsidR="00CD57AE" w:rsidRPr="00C54A15">
        <w:rPr>
          <w:rFonts w:cs="Arial"/>
          <w:noProof w:val="0"/>
        </w:rPr>
        <w:t>.</w:t>
      </w:r>
    </w:p>
    <w:p w14:paraId="35F693E4" w14:textId="19C440B4" w:rsidR="00AF63BB" w:rsidRPr="00C54A15" w:rsidRDefault="00AF63BB" w:rsidP="00CD57AE">
      <w:pPr>
        <w:jc w:val="both"/>
        <w:rPr>
          <w:rFonts w:cs="Arial"/>
          <w:noProof w:val="0"/>
        </w:rPr>
      </w:pPr>
      <w:r>
        <w:rPr>
          <w:rFonts w:cs="Arial"/>
          <w:noProof w:val="0"/>
        </w:rPr>
        <w:t>This methodology is built in</w:t>
      </w:r>
      <w:r w:rsidR="00A63179">
        <w:rPr>
          <w:rFonts w:cs="Arial"/>
          <w:noProof w:val="0"/>
        </w:rPr>
        <w:t>to</w:t>
      </w:r>
      <w:r>
        <w:rPr>
          <w:rFonts w:cs="Arial"/>
          <w:noProof w:val="0"/>
        </w:rPr>
        <w:t xml:space="preserve"> Jolt Capital</w:t>
      </w:r>
      <w:r w:rsidR="00A63179">
        <w:rPr>
          <w:rFonts w:cs="Arial"/>
          <w:noProof w:val="0"/>
        </w:rPr>
        <w:t>’s</w:t>
      </w:r>
      <w:r>
        <w:rPr>
          <w:rFonts w:cs="Arial"/>
          <w:noProof w:val="0"/>
        </w:rPr>
        <w:t xml:space="preserve"> valuation process.</w:t>
      </w:r>
    </w:p>
    <w:p w14:paraId="7D50C806" w14:textId="77777777" w:rsidR="00CD57AE" w:rsidRPr="00C54A15" w:rsidRDefault="00CD57AE" w:rsidP="00CD57AE">
      <w:pPr>
        <w:jc w:val="both"/>
        <w:rPr>
          <w:rFonts w:cs="Arial"/>
          <w:noProof w:val="0"/>
        </w:rPr>
      </w:pPr>
    </w:p>
    <w:p w14:paraId="46AAF023" w14:textId="77777777" w:rsidR="00A52507" w:rsidRPr="00C54A15" w:rsidRDefault="00A52507" w:rsidP="0055573C">
      <w:pPr>
        <w:pStyle w:val="Heading2"/>
        <w:jc w:val="both"/>
        <w:rPr>
          <w:rFonts w:cs="Arial"/>
          <w:noProof w:val="0"/>
        </w:rPr>
      </w:pPr>
      <w:r w:rsidRPr="00C54A15">
        <w:rPr>
          <w:rFonts w:cs="Arial"/>
          <w:noProof w:val="0"/>
        </w:rPr>
        <w:t>Governance risks management</w:t>
      </w:r>
    </w:p>
    <w:p w14:paraId="72C54DE7" w14:textId="77777777" w:rsidR="006F7B95" w:rsidRPr="00C54A15" w:rsidRDefault="006F7B95" w:rsidP="00737333">
      <w:pPr>
        <w:pStyle w:val="Heading2"/>
        <w:numPr>
          <w:ilvl w:val="0"/>
          <w:numId w:val="0"/>
        </w:numPr>
        <w:jc w:val="both"/>
        <w:rPr>
          <w:rFonts w:cs="Arial"/>
          <w:noProof w:val="0"/>
          <w:color w:val="auto"/>
          <w:sz w:val="22"/>
        </w:rPr>
      </w:pPr>
      <w:r w:rsidRPr="00C54A15">
        <w:rPr>
          <w:rFonts w:cs="Arial"/>
          <w:noProof w:val="0"/>
          <w:color w:val="auto"/>
          <w:sz w:val="22"/>
        </w:rPr>
        <w:t xml:space="preserve">Jolt Capital has implemented a comprehensive Responsible Investment Procedure that relies on a robust ESG governance structure. </w:t>
      </w:r>
    </w:p>
    <w:p w14:paraId="66DA8BC8" w14:textId="32052CBF" w:rsidR="00614D85" w:rsidRPr="00C54A15" w:rsidRDefault="006F7B95" w:rsidP="00737333">
      <w:pPr>
        <w:pStyle w:val="Heading2"/>
        <w:numPr>
          <w:ilvl w:val="0"/>
          <w:numId w:val="0"/>
        </w:numPr>
        <w:jc w:val="both"/>
        <w:rPr>
          <w:rFonts w:cs="Arial"/>
          <w:noProof w:val="0"/>
          <w:color w:val="auto"/>
          <w:sz w:val="22"/>
        </w:rPr>
      </w:pPr>
      <w:r w:rsidRPr="00C54A15">
        <w:rPr>
          <w:rFonts w:cs="Arial"/>
          <w:noProof w:val="0"/>
          <w:color w:val="auto"/>
          <w:sz w:val="22"/>
        </w:rPr>
        <w:t xml:space="preserve">The approach involves a thorough review of ESG issues at the management level, which includes an annual assessment of our portfolio's ESG positioning following our ESG reporting campaign. The Compliance Officer, who </w:t>
      </w:r>
      <w:r w:rsidR="00C54A15" w:rsidRPr="00C54A15">
        <w:rPr>
          <w:rFonts w:cs="Arial"/>
          <w:noProof w:val="0"/>
          <w:color w:val="auto"/>
          <w:sz w:val="22"/>
        </w:rPr>
        <w:t>oversees</w:t>
      </w:r>
      <w:r w:rsidR="00530A64" w:rsidRPr="00C54A15">
        <w:rPr>
          <w:rFonts w:cs="Arial"/>
          <w:noProof w:val="0"/>
          <w:color w:val="auto"/>
          <w:sz w:val="22"/>
        </w:rPr>
        <w:t xml:space="preserve"> the implementation</w:t>
      </w:r>
      <w:r w:rsidRPr="00C54A15">
        <w:rPr>
          <w:rFonts w:cs="Arial"/>
          <w:noProof w:val="0"/>
          <w:color w:val="auto"/>
          <w:sz w:val="22"/>
        </w:rPr>
        <w:t xml:space="preserve"> of our ESG policy and Responsible Investment Strategy, </w:t>
      </w:r>
      <w:r w:rsidR="00B115DB" w:rsidRPr="00C54A15">
        <w:rPr>
          <w:rFonts w:cs="Arial"/>
          <w:noProof w:val="0"/>
          <w:color w:val="auto"/>
          <w:sz w:val="22"/>
        </w:rPr>
        <w:t xml:space="preserve">is in charge of </w:t>
      </w:r>
      <w:r w:rsidRPr="00C54A15">
        <w:rPr>
          <w:rFonts w:cs="Arial"/>
          <w:noProof w:val="0"/>
          <w:color w:val="auto"/>
          <w:sz w:val="22"/>
        </w:rPr>
        <w:t xml:space="preserve">climate-related matters. </w:t>
      </w:r>
    </w:p>
    <w:p w14:paraId="270444CC" w14:textId="3900FD59" w:rsidR="00614D85" w:rsidRPr="00C54A15" w:rsidRDefault="006F7B95" w:rsidP="00737333">
      <w:pPr>
        <w:pStyle w:val="Heading2"/>
        <w:numPr>
          <w:ilvl w:val="0"/>
          <w:numId w:val="0"/>
        </w:numPr>
        <w:jc w:val="both"/>
        <w:rPr>
          <w:rFonts w:cs="Arial"/>
          <w:noProof w:val="0"/>
          <w:color w:val="auto"/>
          <w:sz w:val="22"/>
        </w:rPr>
      </w:pPr>
      <w:r w:rsidRPr="00C54A15">
        <w:rPr>
          <w:rFonts w:cs="Arial"/>
          <w:noProof w:val="0"/>
          <w:color w:val="auto"/>
          <w:sz w:val="22"/>
        </w:rPr>
        <w:t xml:space="preserve">ESG risks and opportunities are formally reviewed and discussed during a dedicated Investment Committee session </w:t>
      </w:r>
      <w:r w:rsidR="00C54A15" w:rsidRPr="00C54A15">
        <w:rPr>
          <w:rFonts w:cs="Arial"/>
          <w:noProof w:val="0"/>
          <w:color w:val="auto"/>
          <w:sz w:val="22"/>
        </w:rPr>
        <w:t>prior</w:t>
      </w:r>
      <w:r w:rsidR="00B115DB" w:rsidRPr="00C54A15">
        <w:rPr>
          <w:rFonts w:cs="Arial"/>
          <w:noProof w:val="0"/>
          <w:color w:val="auto"/>
          <w:sz w:val="22"/>
        </w:rPr>
        <w:t xml:space="preserve"> to </w:t>
      </w:r>
      <w:r w:rsidRPr="00C54A15">
        <w:rPr>
          <w:rFonts w:cs="Arial"/>
          <w:noProof w:val="0"/>
          <w:color w:val="auto"/>
          <w:sz w:val="22"/>
        </w:rPr>
        <w:t xml:space="preserve">each investment. </w:t>
      </w:r>
      <w:r w:rsidR="00B115DB" w:rsidRPr="00C54A15">
        <w:rPr>
          <w:rFonts w:cs="Arial"/>
          <w:noProof w:val="0"/>
          <w:color w:val="auto"/>
          <w:sz w:val="22"/>
        </w:rPr>
        <w:t xml:space="preserve">As a pre-requisite we </w:t>
      </w:r>
      <w:r w:rsidRPr="00C54A15">
        <w:rPr>
          <w:rFonts w:cs="Arial"/>
          <w:noProof w:val="0"/>
          <w:color w:val="auto"/>
          <w:sz w:val="22"/>
        </w:rPr>
        <w:t xml:space="preserve">engage external consultants to perform ESG due diligence, </w:t>
      </w:r>
      <w:r w:rsidR="00C54A15" w:rsidRPr="00C54A15">
        <w:rPr>
          <w:rFonts w:cs="Arial"/>
          <w:noProof w:val="0"/>
          <w:color w:val="auto"/>
          <w:sz w:val="22"/>
        </w:rPr>
        <w:t>analyse</w:t>
      </w:r>
      <w:r w:rsidRPr="00C54A15">
        <w:rPr>
          <w:rFonts w:cs="Arial"/>
          <w:noProof w:val="0"/>
          <w:color w:val="auto"/>
          <w:sz w:val="22"/>
        </w:rPr>
        <w:t xml:space="preserve"> portfolio ESG positioning, and ensure the implementation and follow-up of ESG action plans at various portfolio companies. </w:t>
      </w:r>
      <w:r w:rsidR="00B115DB" w:rsidRPr="00C54A15">
        <w:rPr>
          <w:rFonts w:cs="Arial"/>
          <w:noProof w:val="0"/>
          <w:color w:val="auto"/>
          <w:sz w:val="22"/>
        </w:rPr>
        <w:t xml:space="preserve"> </w:t>
      </w:r>
    </w:p>
    <w:p w14:paraId="167FD257" w14:textId="0D580E2A" w:rsidR="00530A64" w:rsidRPr="00C54A15" w:rsidRDefault="00B115DB" w:rsidP="000D5FAE">
      <w:pPr>
        <w:rPr>
          <w:noProof w:val="0"/>
        </w:rPr>
      </w:pPr>
      <w:r w:rsidRPr="00C54A15">
        <w:rPr>
          <w:noProof w:val="0"/>
        </w:rPr>
        <w:t xml:space="preserve">This ESG due diligence includes: (1) Documentary research from studies, </w:t>
      </w:r>
      <w:r w:rsidR="00C54A15" w:rsidRPr="00C54A15">
        <w:rPr>
          <w:noProof w:val="0"/>
        </w:rPr>
        <w:t>sector,</w:t>
      </w:r>
      <w:r w:rsidRPr="00C54A15">
        <w:rPr>
          <w:noProof w:val="0"/>
        </w:rPr>
        <w:t xml:space="preserve"> and thematic benchmarks, press articles on the industry and similarly positioned companies, (2) An analysis of documents provided to the consultants in the data room, (3) The analysis of an ESG Q&amp;A completed by the management of the investment target. (4) An ESG interview which takes place between the management of the investment target, the consultants, and Jolt Capital's ESG </w:t>
      </w:r>
      <w:r w:rsidRPr="00C54A15">
        <w:rPr>
          <w:noProof w:val="0"/>
        </w:rPr>
        <w:lastRenderedPageBreak/>
        <w:t xml:space="preserve">team. </w:t>
      </w:r>
      <w:r w:rsidR="00530A64" w:rsidRPr="00C54A15">
        <w:rPr>
          <w:noProof w:val="0"/>
        </w:rPr>
        <w:t xml:space="preserve">The </w:t>
      </w:r>
      <w:r w:rsidR="00C54A15" w:rsidRPr="00C54A15">
        <w:rPr>
          <w:noProof w:val="0"/>
        </w:rPr>
        <w:t>conclusions</w:t>
      </w:r>
      <w:r w:rsidR="00530A64" w:rsidRPr="00C54A15">
        <w:rPr>
          <w:noProof w:val="0"/>
        </w:rPr>
        <w:t xml:space="preserve"> of the ESG due diligence are included in the Investment Committee’s Investment Memorandum </w:t>
      </w:r>
      <w:r w:rsidR="00C54A15" w:rsidRPr="00C54A15">
        <w:rPr>
          <w:noProof w:val="0"/>
        </w:rPr>
        <w:t>to</w:t>
      </w:r>
      <w:r w:rsidR="00530A64" w:rsidRPr="00C54A15">
        <w:rPr>
          <w:noProof w:val="0"/>
        </w:rPr>
        <w:t xml:space="preserve"> </w:t>
      </w:r>
      <w:r w:rsidR="00C2108B">
        <w:rPr>
          <w:noProof w:val="0"/>
        </w:rPr>
        <w:t>support</w:t>
      </w:r>
      <w:r w:rsidR="00C2108B" w:rsidRPr="00C54A15">
        <w:rPr>
          <w:noProof w:val="0"/>
        </w:rPr>
        <w:t xml:space="preserve"> </w:t>
      </w:r>
      <w:r w:rsidR="004E4FB2" w:rsidRPr="00C54A15">
        <w:rPr>
          <w:noProof w:val="0"/>
        </w:rPr>
        <w:t>its</w:t>
      </w:r>
      <w:r w:rsidR="00530A64" w:rsidRPr="00C54A15">
        <w:rPr>
          <w:noProof w:val="0"/>
        </w:rPr>
        <w:t xml:space="preserve"> decision making.</w:t>
      </w:r>
    </w:p>
    <w:p w14:paraId="54E599ED" w14:textId="79F59A05" w:rsidR="00B115DB" w:rsidRPr="00C54A15" w:rsidRDefault="00C2108B" w:rsidP="007833A1">
      <w:pPr>
        <w:jc w:val="both"/>
        <w:rPr>
          <w:noProof w:val="0"/>
        </w:rPr>
      </w:pPr>
      <w:r>
        <w:rPr>
          <w:noProof w:val="0"/>
        </w:rPr>
        <w:t>Post investment</w:t>
      </w:r>
      <w:r w:rsidR="00B115DB" w:rsidRPr="00C54A15">
        <w:rPr>
          <w:noProof w:val="0"/>
        </w:rPr>
        <w:t xml:space="preserve">, the result of this </w:t>
      </w:r>
      <w:r>
        <w:rPr>
          <w:noProof w:val="0"/>
        </w:rPr>
        <w:t xml:space="preserve">ESG </w:t>
      </w:r>
      <w:r w:rsidR="00B115DB" w:rsidRPr="00C54A15">
        <w:rPr>
          <w:noProof w:val="0"/>
        </w:rPr>
        <w:t>audit is included in the appendix of any subsequent legally binding document</w:t>
      </w:r>
      <w:r>
        <w:rPr>
          <w:noProof w:val="0"/>
        </w:rPr>
        <w:t xml:space="preserve"> (such as shareholder agreement or investment agreement) in order to enforce an action plan at portfolio company level.</w:t>
      </w:r>
      <w:r w:rsidR="00B115DB" w:rsidRPr="00C54A15">
        <w:rPr>
          <w:noProof w:val="0"/>
        </w:rPr>
        <w:t xml:space="preserve"> </w:t>
      </w:r>
    </w:p>
    <w:p w14:paraId="76BEC56C" w14:textId="5E22BC78" w:rsidR="006F7B95" w:rsidRPr="00C54A15" w:rsidRDefault="006F7B95" w:rsidP="00737333">
      <w:pPr>
        <w:pStyle w:val="Heading2"/>
        <w:numPr>
          <w:ilvl w:val="0"/>
          <w:numId w:val="0"/>
        </w:numPr>
        <w:jc w:val="both"/>
        <w:rPr>
          <w:rFonts w:cs="Arial"/>
          <w:noProof w:val="0"/>
          <w:color w:val="auto"/>
          <w:sz w:val="22"/>
        </w:rPr>
      </w:pPr>
      <w:r w:rsidRPr="00C54A15">
        <w:rPr>
          <w:rFonts w:cs="Arial"/>
          <w:noProof w:val="0"/>
          <w:color w:val="auto"/>
          <w:sz w:val="22"/>
        </w:rPr>
        <w:t xml:space="preserve">Additionally, our </w:t>
      </w:r>
      <w:r w:rsidR="006924DE">
        <w:rPr>
          <w:rFonts w:cs="Arial"/>
          <w:noProof w:val="0"/>
          <w:color w:val="auto"/>
          <w:sz w:val="22"/>
        </w:rPr>
        <w:t>management</w:t>
      </w:r>
      <w:r w:rsidRPr="00C54A15">
        <w:rPr>
          <w:rFonts w:cs="Arial"/>
          <w:noProof w:val="0"/>
          <w:color w:val="auto"/>
          <w:sz w:val="22"/>
        </w:rPr>
        <w:t xml:space="preserve"> is responsible for integrating ESG-related risks into our risk management framework</w:t>
      </w:r>
      <w:r w:rsidR="006924DE">
        <w:rPr>
          <w:rFonts w:cs="Arial"/>
          <w:noProof w:val="0"/>
          <w:color w:val="auto"/>
          <w:sz w:val="22"/>
        </w:rPr>
        <w:t>, as per our processes.</w:t>
      </w:r>
    </w:p>
    <w:p w14:paraId="1C72288D" w14:textId="61D8B9D0" w:rsidR="00737333" w:rsidRPr="00C54A15" w:rsidRDefault="006F7B95" w:rsidP="00737333">
      <w:pPr>
        <w:pStyle w:val="Heading2"/>
        <w:numPr>
          <w:ilvl w:val="0"/>
          <w:numId w:val="0"/>
        </w:numPr>
        <w:jc w:val="both"/>
        <w:rPr>
          <w:rFonts w:cs="Arial"/>
          <w:noProof w:val="0"/>
          <w:color w:val="auto"/>
          <w:sz w:val="22"/>
        </w:rPr>
      </w:pPr>
      <w:r w:rsidRPr="00C54A15">
        <w:rPr>
          <w:rFonts w:cs="Arial"/>
          <w:noProof w:val="0"/>
          <w:color w:val="auto"/>
          <w:sz w:val="22"/>
        </w:rPr>
        <w:t>We are committed to incentivizing and empowering our teams to implement our ESG Policy. To this end, we are currently defining an approach to integrate ESG criteria into our annual performance reviews and adapt our variable compensation policy accordingly.</w:t>
      </w:r>
    </w:p>
    <w:p w14:paraId="73353820" w14:textId="77777777" w:rsidR="00737333" w:rsidRPr="00C54A15" w:rsidRDefault="00737333" w:rsidP="00CD57AE">
      <w:pPr>
        <w:rPr>
          <w:noProof w:val="0"/>
        </w:rPr>
      </w:pPr>
    </w:p>
    <w:p w14:paraId="11A704E5" w14:textId="238B30CE" w:rsidR="00624C9E" w:rsidRPr="00C54A15" w:rsidRDefault="00A52507" w:rsidP="00BE0FED">
      <w:pPr>
        <w:pStyle w:val="Heading2"/>
        <w:jc w:val="both"/>
        <w:rPr>
          <w:rFonts w:cs="Arial"/>
          <w:noProof w:val="0"/>
        </w:rPr>
      </w:pPr>
      <w:r w:rsidRPr="00C54A15">
        <w:rPr>
          <w:rFonts w:cs="Arial"/>
          <w:noProof w:val="0"/>
        </w:rPr>
        <w:t>Description of the main ESG risks</w:t>
      </w:r>
    </w:p>
    <w:p w14:paraId="6535A7B3" w14:textId="5E9E075A" w:rsidR="006F7B95" w:rsidRPr="00C54A15" w:rsidRDefault="006F7B95" w:rsidP="006F7B95">
      <w:pPr>
        <w:jc w:val="both"/>
        <w:rPr>
          <w:rFonts w:cs="Arial"/>
          <w:noProof w:val="0"/>
        </w:rPr>
      </w:pPr>
      <w:r w:rsidRPr="00C54A15">
        <w:rPr>
          <w:rFonts w:cs="Arial"/>
          <w:noProof w:val="0"/>
        </w:rPr>
        <w:t>Jolt Capital</w:t>
      </w:r>
      <w:r w:rsidR="00975081">
        <w:rPr>
          <w:rFonts w:cs="Arial"/>
          <w:noProof w:val="0"/>
        </w:rPr>
        <w:t xml:space="preserve"> </w:t>
      </w:r>
      <w:r w:rsidRPr="00C54A15">
        <w:rPr>
          <w:rFonts w:cs="Arial"/>
          <w:noProof w:val="0"/>
        </w:rPr>
        <w:t xml:space="preserve">identified three primary ESG-related risks that require attention. </w:t>
      </w:r>
    </w:p>
    <w:p w14:paraId="0DE013E5" w14:textId="1F524D38" w:rsidR="006F7B95" w:rsidRPr="00C54A15" w:rsidRDefault="006F7B95" w:rsidP="006F7B95">
      <w:pPr>
        <w:jc w:val="both"/>
        <w:rPr>
          <w:rFonts w:cs="Arial"/>
          <w:noProof w:val="0"/>
        </w:rPr>
      </w:pPr>
      <w:r w:rsidRPr="00C54A15">
        <w:rPr>
          <w:rFonts w:cs="Arial"/>
          <w:noProof w:val="0"/>
        </w:rPr>
        <w:t xml:space="preserve">The first pertains to </w:t>
      </w:r>
      <w:r w:rsidRPr="00C54A15">
        <w:rPr>
          <w:rFonts w:cs="Arial"/>
          <w:b/>
          <w:bCs/>
          <w:noProof w:val="0"/>
        </w:rPr>
        <w:t>supply chain risks</w:t>
      </w:r>
      <w:r w:rsidRPr="00C54A15">
        <w:rPr>
          <w:rFonts w:cs="Arial"/>
          <w:noProof w:val="0"/>
        </w:rPr>
        <w:t xml:space="preserve">, which encompasses the potential for shortages, delays, or price increases in the supply chain of components and materials. This risk spans </w:t>
      </w:r>
      <w:r w:rsidR="00CC59AE">
        <w:rPr>
          <w:rFonts w:cs="Arial"/>
          <w:noProof w:val="0"/>
        </w:rPr>
        <w:t xml:space="preserve">across </w:t>
      </w:r>
      <w:r w:rsidRPr="00C54A15">
        <w:rPr>
          <w:rFonts w:cs="Arial"/>
          <w:noProof w:val="0"/>
        </w:rPr>
        <w:t xml:space="preserve">the transit, logistics, and delivery of such items, supplier-specific risk, and supplier diversification. </w:t>
      </w:r>
    </w:p>
    <w:p w14:paraId="7592333F" w14:textId="5A9611A4" w:rsidR="006F7B95" w:rsidRPr="00C54A15" w:rsidRDefault="006F7B95" w:rsidP="006F7B95">
      <w:pPr>
        <w:jc w:val="both"/>
        <w:rPr>
          <w:rFonts w:cs="Arial"/>
          <w:noProof w:val="0"/>
        </w:rPr>
      </w:pPr>
      <w:r w:rsidRPr="00C54A15">
        <w:rPr>
          <w:rFonts w:cs="Arial"/>
          <w:noProof w:val="0"/>
        </w:rPr>
        <w:t xml:space="preserve">The second risk concerns </w:t>
      </w:r>
      <w:r w:rsidRPr="00C54A15">
        <w:rPr>
          <w:rFonts w:cs="Arial"/>
          <w:b/>
          <w:bCs/>
          <w:noProof w:val="0"/>
        </w:rPr>
        <w:t>environmental and emissions-related issues</w:t>
      </w:r>
      <w:r w:rsidRPr="00C54A15">
        <w:rPr>
          <w:rFonts w:cs="Arial"/>
          <w:noProof w:val="0"/>
        </w:rPr>
        <w:t>, such as potential negative impacts on the natural environment due to a company's activities, including air, water, and land resources. Examples include air pollution from manufacturing or transportation activities, water pollution from manufacturing or agricultural activities, deforestation, or habitat destruction, and climate change caused by greenhouse gas emissions. Such risks can harm a company's valuation in numerous ways, including increased regulatory costs, damage to brand value from negative public opinion, legal action, and physical risks that can disrupt operations or damage assets. Thus, Jolt Capital evaluates the environmental record and potential exposure</w:t>
      </w:r>
      <w:r w:rsidR="00D53D37" w:rsidRPr="00C54A15">
        <w:rPr>
          <w:rFonts w:cs="Arial"/>
          <w:noProof w:val="0"/>
        </w:rPr>
        <w:t xml:space="preserve"> (transitional and enabling)</w:t>
      </w:r>
      <w:r w:rsidRPr="00C54A15">
        <w:rPr>
          <w:rFonts w:cs="Arial"/>
          <w:noProof w:val="0"/>
        </w:rPr>
        <w:t xml:space="preserve"> </w:t>
      </w:r>
      <w:r w:rsidR="00D53D37" w:rsidRPr="00C54A15">
        <w:rPr>
          <w:rFonts w:cs="Arial"/>
          <w:noProof w:val="0"/>
        </w:rPr>
        <w:t>with regards to</w:t>
      </w:r>
      <w:r w:rsidRPr="00C54A15">
        <w:rPr>
          <w:rFonts w:cs="Arial"/>
          <w:noProof w:val="0"/>
        </w:rPr>
        <w:t xml:space="preserve"> environmental risks of its portfolio companies when assessing valuation.</w:t>
      </w:r>
    </w:p>
    <w:p w14:paraId="1853BEF4" w14:textId="062AFD66" w:rsidR="009A4A4A" w:rsidRPr="00C54A15" w:rsidRDefault="006F7B95" w:rsidP="006F7B95">
      <w:pPr>
        <w:jc w:val="both"/>
        <w:rPr>
          <w:rFonts w:cs="Arial"/>
          <w:noProof w:val="0"/>
        </w:rPr>
      </w:pPr>
      <w:r w:rsidRPr="00C54A15">
        <w:rPr>
          <w:rFonts w:cs="Arial"/>
          <w:noProof w:val="0"/>
        </w:rPr>
        <w:t xml:space="preserve">Finally, </w:t>
      </w:r>
      <w:r w:rsidRPr="00C54A15">
        <w:rPr>
          <w:rFonts w:cs="Arial"/>
          <w:b/>
          <w:bCs/>
          <w:noProof w:val="0"/>
        </w:rPr>
        <w:t>social risks</w:t>
      </w:r>
      <w:r w:rsidRPr="00C54A15">
        <w:rPr>
          <w:rFonts w:cs="Arial"/>
          <w:noProof w:val="0"/>
        </w:rPr>
        <w:t xml:space="preserve"> are factors </w:t>
      </w:r>
      <w:r w:rsidR="00957714" w:rsidRPr="00C54A15">
        <w:rPr>
          <w:rFonts w:cs="Arial"/>
          <w:noProof w:val="0"/>
        </w:rPr>
        <w:t xml:space="preserve">which </w:t>
      </w:r>
      <w:r w:rsidRPr="00C54A15">
        <w:rPr>
          <w:rFonts w:cs="Arial"/>
          <w:noProof w:val="0"/>
        </w:rPr>
        <w:t xml:space="preserve">could </w:t>
      </w:r>
      <w:r w:rsidR="00957714" w:rsidRPr="00C54A15">
        <w:rPr>
          <w:rFonts w:cs="Arial"/>
          <w:noProof w:val="0"/>
        </w:rPr>
        <w:t xml:space="preserve"> potentially </w:t>
      </w:r>
      <w:r w:rsidRPr="00C54A15">
        <w:rPr>
          <w:rFonts w:cs="Arial"/>
          <w:noProof w:val="0"/>
        </w:rPr>
        <w:t xml:space="preserve">have an adverse impact on a company's reputation or relationships with stakeholders, including customers, employees, suppliers, and the wider community. These risks may arise from a range of issues, such as ethical concerns, </w:t>
      </w:r>
      <w:r w:rsidR="007E04DB" w:rsidRPr="00C54A15">
        <w:rPr>
          <w:rFonts w:cs="Arial"/>
          <w:noProof w:val="0"/>
        </w:rPr>
        <w:t>equal treatment concerns, labour relations and</w:t>
      </w:r>
      <w:r w:rsidRPr="00C54A15">
        <w:rPr>
          <w:rFonts w:cs="Arial"/>
          <w:noProof w:val="0"/>
        </w:rPr>
        <w:t xml:space="preserve"> practices, environmental impact, human rights violations, safety incidents, or controversies related to political or social issues. If not effectively managed, these risks could lead to a decline in public trust, legal action, financial penalties, or reputational damage, which could, in turn, result in reduced sales, loss of customers, increased costs, or decreased investor confidence.</w:t>
      </w:r>
      <w:r w:rsidR="000D5C81">
        <w:rPr>
          <w:rFonts w:cs="Arial"/>
          <w:noProof w:val="0"/>
        </w:rPr>
        <w:t xml:space="preserve"> We ask our portfolio companies to pay particular attention to their supply chain and to ensure that their suppliers or subcontractors behave in compliance with laws and ethical standards.</w:t>
      </w:r>
    </w:p>
    <w:p w14:paraId="75BDCD74" w14:textId="77777777" w:rsidR="007C640C" w:rsidRPr="00C54A15" w:rsidRDefault="007C640C" w:rsidP="0055573C">
      <w:pPr>
        <w:jc w:val="both"/>
        <w:rPr>
          <w:rFonts w:cs="Arial"/>
          <w:noProof w:val="0"/>
        </w:rPr>
      </w:pPr>
    </w:p>
    <w:p w14:paraId="179064B2" w14:textId="25F82B57" w:rsidR="00A52507" w:rsidRPr="00C54A15" w:rsidRDefault="00A52507" w:rsidP="0055573C">
      <w:pPr>
        <w:pStyle w:val="Heading2"/>
        <w:jc w:val="both"/>
        <w:rPr>
          <w:rFonts w:cs="Arial"/>
          <w:noProof w:val="0"/>
        </w:rPr>
      </w:pPr>
      <w:r w:rsidRPr="00C54A15">
        <w:rPr>
          <w:rFonts w:cs="Arial"/>
          <w:noProof w:val="0"/>
        </w:rPr>
        <w:t>Risk management framework review frequency</w:t>
      </w:r>
    </w:p>
    <w:p w14:paraId="157F412F" w14:textId="41C1BC59" w:rsidR="006F7B95" w:rsidRPr="00C54A15" w:rsidRDefault="006F7B95" w:rsidP="006F7B95">
      <w:pPr>
        <w:jc w:val="both"/>
        <w:rPr>
          <w:rFonts w:cs="Arial"/>
          <w:noProof w:val="0"/>
        </w:rPr>
      </w:pPr>
      <w:r w:rsidRPr="00C54A15">
        <w:rPr>
          <w:rFonts w:cs="Arial"/>
          <w:noProof w:val="0"/>
        </w:rPr>
        <w:t>Jolt Capital recognizes that ESG (Environmental, Social, and Governance) risks and opportunities can impact the performance and value of investments. As such, the firm has implemented a comprehensive approach to ESG risk assessment and management to ensure that its investments align with its values and objectives.</w:t>
      </w:r>
    </w:p>
    <w:p w14:paraId="32C4FDC2" w14:textId="0BA48652" w:rsidR="006F7B95" w:rsidRPr="00C54A15" w:rsidRDefault="006F7B95" w:rsidP="006F7B95">
      <w:pPr>
        <w:jc w:val="both"/>
        <w:rPr>
          <w:rFonts w:cs="Arial"/>
          <w:noProof w:val="0"/>
        </w:rPr>
      </w:pPr>
      <w:r w:rsidRPr="00C54A15">
        <w:rPr>
          <w:rFonts w:cs="Arial"/>
          <w:noProof w:val="0"/>
        </w:rPr>
        <w:t xml:space="preserve">The ESG risk assessment process at Jolt Capital begins with an initial assessment conducted by the lead partner. This assessment is designed to identify any significant ESG risks associated with a potential investment opportunity. The lead partner considers a range of factors, including </w:t>
      </w:r>
      <w:r w:rsidRPr="00C54A15">
        <w:rPr>
          <w:rFonts w:cs="Arial"/>
          <w:noProof w:val="0"/>
        </w:rPr>
        <w:lastRenderedPageBreak/>
        <w:t xml:space="preserve">the company's environmental impact, social responsibility practices, and corporate governance structure, among other things. </w:t>
      </w:r>
    </w:p>
    <w:p w14:paraId="3E3A33D8" w14:textId="1B0D9736" w:rsidR="006F7B95" w:rsidRPr="00C54A15" w:rsidRDefault="006F7B95" w:rsidP="006F7B95">
      <w:pPr>
        <w:jc w:val="both"/>
        <w:rPr>
          <w:rFonts w:cs="Arial"/>
          <w:noProof w:val="0"/>
        </w:rPr>
      </w:pPr>
      <w:r w:rsidRPr="00C54A15">
        <w:rPr>
          <w:rFonts w:cs="Arial"/>
          <w:noProof w:val="0"/>
        </w:rPr>
        <w:t xml:space="preserve">If significant ESG risks are identified during the initial assessment, Jolt Capital may decide to reject the investment opportunity, and investments falling within its exclusion risk will not proceed. Exclusion risks may include investments in industries such as tobacco, </w:t>
      </w:r>
      <w:r w:rsidR="00837815">
        <w:rPr>
          <w:rFonts w:cs="Arial"/>
          <w:noProof w:val="0"/>
        </w:rPr>
        <w:t>games,</w:t>
      </w:r>
      <w:r w:rsidRPr="00C54A15">
        <w:rPr>
          <w:rFonts w:cs="Arial"/>
          <w:noProof w:val="0"/>
        </w:rPr>
        <w:t xml:space="preserve"> and fossil fuels</w:t>
      </w:r>
      <w:r w:rsidR="00653654">
        <w:rPr>
          <w:rFonts w:cs="Arial"/>
          <w:noProof w:val="0"/>
        </w:rPr>
        <w:t>, as per Jolt Capital’s exclusion list.</w:t>
      </w:r>
    </w:p>
    <w:p w14:paraId="567224A2" w14:textId="7D539C6A" w:rsidR="006F7B95" w:rsidRPr="00C54A15" w:rsidRDefault="006F7B95" w:rsidP="006F7B95">
      <w:pPr>
        <w:jc w:val="both"/>
        <w:rPr>
          <w:rFonts w:cs="Arial"/>
          <w:noProof w:val="0"/>
        </w:rPr>
      </w:pPr>
      <w:r w:rsidRPr="00C54A15">
        <w:rPr>
          <w:rFonts w:cs="Arial"/>
          <w:noProof w:val="0"/>
        </w:rPr>
        <w:t>If the investment opportunity passes the initial ESG risk assessment, Jolt Capital's investment committee independently reviews and approves the investment. This evaluation includes an assessment of the ESG risks associated with the investment. If ESG risks are identified, the investment committee may require additional due diligence, including site visits and third-party assessments, to better understand the risks and develop a plan to mitigate them.</w:t>
      </w:r>
    </w:p>
    <w:p w14:paraId="64B1D082" w14:textId="77A398DF" w:rsidR="006F7B95" w:rsidRPr="00C54A15" w:rsidRDefault="006F7B95" w:rsidP="006F7B95">
      <w:pPr>
        <w:jc w:val="both"/>
        <w:rPr>
          <w:rFonts w:cs="Arial"/>
          <w:noProof w:val="0"/>
        </w:rPr>
      </w:pPr>
      <w:r w:rsidRPr="00C54A15">
        <w:rPr>
          <w:rFonts w:cs="Arial"/>
          <w:noProof w:val="0"/>
        </w:rPr>
        <w:t>Jolt Capital then conducts</w:t>
      </w:r>
      <w:r w:rsidR="00B115DB" w:rsidRPr="00C54A15">
        <w:rPr>
          <w:rFonts w:cs="Arial"/>
          <w:noProof w:val="0"/>
        </w:rPr>
        <w:t xml:space="preserve"> an</w:t>
      </w:r>
      <w:r w:rsidRPr="00C54A15">
        <w:rPr>
          <w:rFonts w:cs="Arial"/>
          <w:noProof w:val="0"/>
        </w:rPr>
        <w:t xml:space="preserve"> ESG </w:t>
      </w:r>
      <w:r w:rsidR="00B115DB" w:rsidRPr="00C54A15">
        <w:rPr>
          <w:rFonts w:cs="Arial"/>
          <w:noProof w:val="0"/>
        </w:rPr>
        <w:t>audit</w:t>
      </w:r>
      <w:r w:rsidRPr="00C54A15">
        <w:rPr>
          <w:rFonts w:cs="Arial"/>
          <w:noProof w:val="0"/>
        </w:rPr>
        <w:t xml:space="preserve">, which includes a detailed assessment of the company's ESG performance and risks. This </w:t>
      </w:r>
      <w:r w:rsidR="00B115DB" w:rsidRPr="00C54A15">
        <w:rPr>
          <w:rFonts w:cs="Arial"/>
          <w:noProof w:val="0"/>
        </w:rPr>
        <w:t>audit</w:t>
      </w:r>
      <w:r w:rsidRPr="00C54A15">
        <w:rPr>
          <w:rFonts w:cs="Arial"/>
          <w:noProof w:val="0"/>
        </w:rPr>
        <w:t xml:space="preserve"> process is designed to provide assurance that the investment aligns with Jolt Capital's values and objectives, complies with regulations and internal standards, and includes a plan to mitigate any identified risks. If significant ESG risks are identified during the </w:t>
      </w:r>
      <w:r w:rsidR="00B115DB" w:rsidRPr="00C54A15">
        <w:rPr>
          <w:rFonts w:cs="Arial"/>
          <w:noProof w:val="0"/>
        </w:rPr>
        <w:t>audit</w:t>
      </w:r>
      <w:r w:rsidRPr="00C54A15">
        <w:rPr>
          <w:rFonts w:cs="Arial"/>
          <w:noProof w:val="0"/>
        </w:rPr>
        <w:t xml:space="preserve"> process, Jolt Capital may decide not to proceed with the investment.</w:t>
      </w:r>
    </w:p>
    <w:p w14:paraId="4E134FBC" w14:textId="536F019A" w:rsidR="006F7B95" w:rsidRPr="00C54A15" w:rsidRDefault="006F7B95" w:rsidP="006F7B95">
      <w:pPr>
        <w:jc w:val="both"/>
        <w:rPr>
          <w:rFonts w:cs="Arial"/>
          <w:noProof w:val="0"/>
        </w:rPr>
      </w:pPr>
      <w:r w:rsidRPr="00C54A15">
        <w:rPr>
          <w:rFonts w:cs="Arial"/>
          <w:noProof w:val="0"/>
        </w:rPr>
        <w:t>If the investment opportunity is approved, Jolt Capital works with the company to develop an ESG action plan, which is annexed to the shareholder</w:t>
      </w:r>
      <w:r w:rsidR="00B115DB" w:rsidRPr="00C54A15">
        <w:rPr>
          <w:rFonts w:cs="Arial"/>
          <w:noProof w:val="0"/>
        </w:rPr>
        <w:t>’</w:t>
      </w:r>
      <w:r w:rsidRPr="00C54A15">
        <w:rPr>
          <w:rFonts w:cs="Arial"/>
          <w:noProof w:val="0"/>
        </w:rPr>
        <w:t>s agreement</w:t>
      </w:r>
      <w:r w:rsidR="00B115DB" w:rsidRPr="00C54A15">
        <w:rPr>
          <w:rFonts w:cs="Arial"/>
          <w:noProof w:val="0"/>
        </w:rPr>
        <w:t xml:space="preserve"> or inve</w:t>
      </w:r>
      <w:r w:rsidR="007E04DB" w:rsidRPr="00C54A15">
        <w:rPr>
          <w:rFonts w:cs="Arial"/>
          <w:noProof w:val="0"/>
        </w:rPr>
        <w:t>s</w:t>
      </w:r>
      <w:r w:rsidR="00B115DB" w:rsidRPr="00C54A15">
        <w:rPr>
          <w:rFonts w:cs="Arial"/>
          <w:noProof w:val="0"/>
        </w:rPr>
        <w:t>tment agreement</w:t>
      </w:r>
      <w:r w:rsidRPr="00C54A15">
        <w:rPr>
          <w:rFonts w:cs="Arial"/>
          <w:noProof w:val="0"/>
        </w:rPr>
        <w:t xml:space="preserve">. Depending on the nature of the ESG risk, time-bound action plans and ESG covenants may be </w:t>
      </w:r>
      <w:r w:rsidR="00D72839">
        <w:rPr>
          <w:rFonts w:cs="Arial"/>
          <w:noProof w:val="0"/>
        </w:rPr>
        <w:t>enforced through</w:t>
      </w:r>
      <w:r w:rsidRPr="00C54A15">
        <w:rPr>
          <w:rFonts w:cs="Arial"/>
          <w:noProof w:val="0"/>
        </w:rPr>
        <w:t xml:space="preserve"> the shareholder's agreement.</w:t>
      </w:r>
      <w:r w:rsidR="008A1AFA" w:rsidRPr="00C54A15">
        <w:rPr>
          <w:rFonts w:cs="Arial"/>
          <w:noProof w:val="0"/>
        </w:rPr>
        <w:t xml:space="preserve"> More specifically, Jolt Capital ensures that the </w:t>
      </w:r>
      <w:r w:rsidR="00D72839">
        <w:rPr>
          <w:rFonts w:cs="Arial"/>
          <w:noProof w:val="0"/>
        </w:rPr>
        <w:t>invested c</w:t>
      </w:r>
      <w:r w:rsidR="008A1AFA" w:rsidRPr="00C54A15">
        <w:rPr>
          <w:rFonts w:cs="Arial"/>
          <w:noProof w:val="0"/>
        </w:rPr>
        <w:t xml:space="preserve">ompany undertakes, first, to carry out a diagnostic and draft an action plan for impact on ESG matters (based on the findings of the due diligence report) which are later discussed in good faith with Jolt Capital, within six (6) months from the </w:t>
      </w:r>
      <w:r w:rsidR="00D72839">
        <w:rPr>
          <w:rFonts w:cs="Arial"/>
          <w:noProof w:val="0"/>
        </w:rPr>
        <w:t>investment</w:t>
      </w:r>
      <w:r w:rsidR="008A1AFA" w:rsidRPr="00C54A15">
        <w:rPr>
          <w:rFonts w:cs="Arial"/>
          <w:noProof w:val="0"/>
        </w:rPr>
        <w:t>, and second, to focus its efforts and implement the measures and actions defined in such action plan for impact.</w:t>
      </w:r>
      <w:r w:rsidR="007E04DB" w:rsidRPr="00C54A15">
        <w:rPr>
          <w:rFonts w:cs="Arial"/>
          <w:noProof w:val="0"/>
        </w:rPr>
        <w:t xml:space="preserve"> This approach allows Jolt Capital ample time to define any target </w:t>
      </w:r>
      <w:r w:rsidR="00C54A15" w:rsidRPr="00C54A15">
        <w:rPr>
          <w:rFonts w:cs="Arial"/>
          <w:noProof w:val="0"/>
        </w:rPr>
        <w:t>metrics and</w:t>
      </w:r>
      <w:r w:rsidR="007E04DB" w:rsidRPr="00C54A15">
        <w:rPr>
          <w:rFonts w:cs="Arial"/>
          <w:noProof w:val="0"/>
        </w:rPr>
        <w:t xml:space="preserve"> monitor the implementation of these closely.</w:t>
      </w:r>
    </w:p>
    <w:p w14:paraId="129ADFE3" w14:textId="721C3A87" w:rsidR="006F7B95" w:rsidRPr="00C54A15" w:rsidRDefault="006F7B95" w:rsidP="006F7B95">
      <w:pPr>
        <w:jc w:val="both"/>
        <w:rPr>
          <w:rFonts w:cs="Arial"/>
          <w:noProof w:val="0"/>
        </w:rPr>
      </w:pPr>
      <w:r w:rsidRPr="00C54A15">
        <w:rPr>
          <w:rFonts w:cs="Arial"/>
          <w:noProof w:val="0"/>
        </w:rPr>
        <w:t>Throughout the life of the investment, Jolt Capital regularly monitors the company's ESG performance and risk exposure. This information is reported to the board and various sub-committees periodically</w:t>
      </w:r>
      <w:r w:rsidR="007E04DB" w:rsidRPr="00C54A15">
        <w:rPr>
          <w:rFonts w:cs="Arial"/>
          <w:noProof w:val="0"/>
        </w:rPr>
        <w:t xml:space="preserve"> in addition to the additional ESG reporting campaign.</w:t>
      </w:r>
    </w:p>
    <w:p w14:paraId="3D84299A" w14:textId="3EB98990" w:rsidR="008D6C62" w:rsidRPr="00C54A15" w:rsidRDefault="006F7B95" w:rsidP="006F7B95">
      <w:pPr>
        <w:jc w:val="both"/>
        <w:rPr>
          <w:rFonts w:cs="Arial"/>
          <w:noProof w:val="0"/>
        </w:rPr>
      </w:pPr>
      <w:r w:rsidRPr="00C54A15">
        <w:rPr>
          <w:rFonts w:cs="Arial"/>
          <w:noProof w:val="0"/>
        </w:rPr>
        <w:t>Overall, Jolt Capital's ESG risk management process is designed to ensure that its investments align with its values and objectives, comply with regulations and internal standards, and mitigate any identified risks. By adopting a comprehensive approach to ESG risk assessment and management, Jolt Capital seeks to enhance the long-term value and sustainability of its investments.</w:t>
      </w:r>
    </w:p>
    <w:p w14:paraId="6EDF3E3D" w14:textId="05639DB4" w:rsidR="00E271A9" w:rsidRPr="00C54A15" w:rsidRDefault="00E271A9" w:rsidP="006F7B95">
      <w:pPr>
        <w:jc w:val="both"/>
        <w:rPr>
          <w:rFonts w:cs="Arial"/>
          <w:noProof w:val="0"/>
        </w:rPr>
      </w:pPr>
    </w:p>
    <w:p w14:paraId="59A5B976" w14:textId="5E7C9D6C" w:rsidR="00E271A9" w:rsidRPr="00C54A15" w:rsidRDefault="00E271A9" w:rsidP="00737333">
      <w:pPr>
        <w:pStyle w:val="Heading2"/>
        <w:rPr>
          <w:noProof w:val="0"/>
        </w:rPr>
      </w:pPr>
      <w:r w:rsidRPr="00C54A15">
        <w:rPr>
          <w:noProof w:val="0"/>
        </w:rPr>
        <w:t>Action plan to reduce our portfolio’s exposure to the main ESG risks</w:t>
      </w:r>
    </w:p>
    <w:p w14:paraId="37F21E70" w14:textId="77777777" w:rsidR="00E271A9" w:rsidRPr="00C54A15" w:rsidRDefault="00E271A9" w:rsidP="00E271A9">
      <w:pPr>
        <w:jc w:val="both"/>
        <w:rPr>
          <w:rFonts w:cs="Arial"/>
          <w:noProof w:val="0"/>
        </w:rPr>
      </w:pPr>
      <w:r w:rsidRPr="00C54A15">
        <w:rPr>
          <w:rFonts w:cs="Arial"/>
          <w:noProof w:val="0"/>
        </w:rPr>
        <w:t>Jolt Capital has identified three primary ESG risks that require attention: supply chain risks, environmental and emissions-related issues, and social risks. To mitigate these risks for our portfolio companies, we have developed an action plan that focuses on proactive risk management and stakeholder engagement.</w:t>
      </w:r>
    </w:p>
    <w:p w14:paraId="69AC3AA9" w14:textId="69EBBDA2" w:rsidR="00E271A9" w:rsidRPr="00C54A15" w:rsidRDefault="00E271A9" w:rsidP="00E271A9">
      <w:pPr>
        <w:jc w:val="both"/>
        <w:rPr>
          <w:rFonts w:cs="Arial"/>
          <w:noProof w:val="0"/>
        </w:rPr>
      </w:pPr>
      <w:r w:rsidRPr="00C54A15">
        <w:rPr>
          <w:rFonts w:cs="Arial"/>
          <w:noProof w:val="0"/>
        </w:rPr>
        <w:t>To address supply chain risks, we advise our portfolio companies to assess their supply chain risks and implement mitigation strategies. We encourage diversification of supplier base and review supplier contracts to ensure quality control and timely delivery. Moreover, we monitor supply chain risks on an ongoing basis and take appropriate measures to address any identified issues.</w:t>
      </w:r>
    </w:p>
    <w:p w14:paraId="0D05F4EA" w14:textId="3FFE3438" w:rsidR="00E271A9" w:rsidRPr="00C54A15" w:rsidRDefault="00E271A9" w:rsidP="00E271A9">
      <w:pPr>
        <w:jc w:val="both"/>
        <w:rPr>
          <w:rFonts w:cs="Arial"/>
          <w:noProof w:val="0"/>
        </w:rPr>
      </w:pPr>
      <w:r w:rsidRPr="00C54A15">
        <w:rPr>
          <w:rFonts w:cs="Arial"/>
          <w:noProof w:val="0"/>
        </w:rPr>
        <w:t xml:space="preserve">To mitigate environmental and emissions-related risks, we encourage our portfolio companies to assess their environmental impact and adopt sustainable practices, </w:t>
      </w:r>
      <w:r w:rsidR="007E04DB" w:rsidRPr="00C54A15">
        <w:rPr>
          <w:rFonts w:cs="Arial"/>
          <w:noProof w:val="0"/>
        </w:rPr>
        <w:t>these include</w:t>
      </w:r>
      <w:r w:rsidRPr="00C54A15">
        <w:rPr>
          <w:rFonts w:cs="Arial"/>
          <w:noProof w:val="0"/>
        </w:rPr>
        <w:t xml:space="preserve"> recycling, </w:t>
      </w:r>
      <w:r w:rsidRPr="00C54A15">
        <w:rPr>
          <w:rFonts w:cs="Arial"/>
          <w:noProof w:val="0"/>
        </w:rPr>
        <w:lastRenderedPageBreak/>
        <w:t xml:space="preserve">reducing waste, and using renewable energy sources. We also review environmental policies and procedures to ensure alignment with regulatory requirements and industry standards. </w:t>
      </w:r>
      <w:r w:rsidR="007E04DB" w:rsidRPr="00C54A15">
        <w:rPr>
          <w:rFonts w:cs="Arial"/>
          <w:noProof w:val="0"/>
        </w:rPr>
        <w:t xml:space="preserve"> Environmental Certifications are encouraged where relevant. </w:t>
      </w:r>
      <w:r w:rsidRPr="00C54A15">
        <w:rPr>
          <w:rFonts w:cs="Arial"/>
          <w:noProof w:val="0"/>
        </w:rPr>
        <w:t>Furthermore, we monitor environmental risks regularly and take appropriate measures to address any identified issues.</w:t>
      </w:r>
    </w:p>
    <w:p w14:paraId="3C8D784A" w14:textId="22D7A56C" w:rsidR="00E271A9" w:rsidRPr="00C54A15" w:rsidRDefault="00E271A9" w:rsidP="00E271A9">
      <w:pPr>
        <w:jc w:val="both"/>
        <w:rPr>
          <w:rFonts w:cs="Arial"/>
          <w:noProof w:val="0"/>
        </w:rPr>
      </w:pPr>
      <w:r w:rsidRPr="00C54A15">
        <w:rPr>
          <w:rFonts w:cs="Arial"/>
          <w:noProof w:val="0"/>
        </w:rPr>
        <w:t xml:space="preserve">To  address social risks, we encourage our portfolio companies to assess their social impact and implement strategies to enhance their reputation and relationships with stakeholders. We advise them to adopt responsible </w:t>
      </w:r>
      <w:r w:rsidR="00C54A15" w:rsidRPr="00C54A15">
        <w:rPr>
          <w:rFonts w:cs="Arial"/>
          <w:noProof w:val="0"/>
        </w:rPr>
        <w:t>labour</w:t>
      </w:r>
      <w:r w:rsidRPr="00C54A15">
        <w:rPr>
          <w:rFonts w:cs="Arial"/>
          <w:noProof w:val="0"/>
        </w:rPr>
        <w:t xml:space="preserve"> practices, including fair wages, equal opportunities, and safe working conditions. We review social policies and procedures and ensure compliance with regulatory requirements and industry standards. Additionally, we monitor social risks on an ongoing basis and take appropriate measures to address any identified issues.</w:t>
      </w:r>
    </w:p>
    <w:p w14:paraId="1B64E71D" w14:textId="162626D5" w:rsidR="00E271A9" w:rsidRPr="00C54A15" w:rsidRDefault="00E271A9" w:rsidP="00E271A9">
      <w:pPr>
        <w:jc w:val="both"/>
        <w:rPr>
          <w:rFonts w:cs="Arial"/>
          <w:noProof w:val="0"/>
        </w:rPr>
      </w:pPr>
      <w:r w:rsidRPr="00C54A15">
        <w:rPr>
          <w:rFonts w:cs="Arial"/>
          <w:noProof w:val="0"/>
        </w:rPr>
        <w:t>Overall, we believe that our action plan will mitigate the ESG risks for our portfolio companies, enhance their ESG performance, and create long-term value for our investors. To support this effort, we engage with our portfolio companies regularly to monitor their ESG practices and provide them with the necessary resources and expertise to manage their ESG risks effectively. Jolt Capital will continue to review and refine our ESG approach to ensure alignment with industry standards and regulatory requirements.</w:t>
      </w:r>
    </w:p>
    <w:p w14:paraId="16428249" w14:textId="77777777" w:rsidR="006F7B95" w:rsidRPr="00C54A15" w:rsidRDefault="006F7B95" w:rsidP="006F7B95">
      <w:pPr>
        <w:jc w:val="both"/>
        <w:rPr>
          <w:rFonts w:cs="Arial"/>
          <w:noProof w:val="0"/>
        </w:rPr>
      </w:pPr>
    </w:p>
    <w:p w14:paraId="1C5358DB" w14:textId="18051005" w:rsidR="00A52507" w:rsidRPr="00C54A15" w:rsidRDefault="2D3AF367" w:rsidP="0055573C">
      <w:pPr>
        <w:pStyle w:val="Heading2"/>
        <w:jc w:val="both"/>
        <w:rPr>
          <w:rFonts w:cs="Arial"/>
          <w:noProof w:val="0"/>
        </w:rPr>
      </w:pPr>
      <w:r w:rsidRPr="00C54A15">
        <w:rPr>
          <w:rFonts w:cs="Arial"/>
          <w:noProof w:val="0"/>
        </w:rPr>
        <w:t>Quantitative estimate of the financial impact of the key ESG risks</w:t>
      </w:r>
    </w:p>
    <w:p w14:paraId="7DAA8DAC" w14:textId="7BE5E396" w:rsidR="000953DB" w:rsidRPr="00C54A15" w:rsidRDefault="009A4A4A" w:rsidP="0055573C">
      <w:pPr>
        <w:jc w:val="both"/>
        <w:rPr>
          <w:rFonts w:cs="Arial"/>
          <w:noProof w:val="0"/>
        </w:rPr>
      </w:pPr>
      <w:r w:rsidRPr="00C54A15">
        <w:rPr>
          <w:rFonts w:cs="Arial"/>
          <w:noProof w:val="0"/>
        </w:rPr>
        <w:t xml:space="preserve">Using its risk </w:t>
      </w:r>
      <w:r w:rsidR="00C54A15" w:rsidRPr="00C54A15">
        <w:rPr>
          <w:rFonts w:cs="Arial"/>
          <w:noProof w:val="0"/>
        </w:rPr>
        <w:t>assessment</w:t>
      </w:r>
      <w:r w:rsidRPr="00C54A15">
        <w:rPr>
          <w:rFonts w:cs="Arial"/>
          <w:noProof w:val="0"/>
        </w:rPr>
        <w:t xml:space="preserve"> matrix, Jolt Capital has been able to </w:t>
      </w:r>
      <w:r w:rsidR="00C3729B" w:rsidRPr="00C54A15">
        <w:rPr>
          <w:rFonts w:cs="Arial"/>
          <w:noProof w:val="0"/>
        </w:rPr>
        <w:t>evaluate</w:t>
      </w:r>
      <w:r w:rsidRPr="00C54A15">
        <w:rPr>
          <w:rFonts w:cs="Arial"/>
          <w:noProof w:val="0"/>
        </w:rPr>
        <w:t xml:space="preserve"> </w:t>
      </w:r>
      <w:r w:rsidR="00C3729B" w:rsidRPr="00C54A15">
        <w:rPr>
          <w:rFonts w:cs="Arial"/>
          <w:noProof w:val="0"/>
        </w:rPr>
        <w:t>the</w:t>
      </w:r>
      <w:r w:rsidRPr="00C54A15">
        <w:rPr>
          <w:rFonts w:cs="Arial"/>
          <w:noProof w:val="0"/>
        </w:rPr>
        <w:t xml:space="preserve"> financial impact of the key ESG risks corresponding </w:t>
      </w:r>
      <w:r w:rsidR="00C3729B" w:rsidRPr="00C54A15">
        <w:rPr>
          <w:rFonts w:cs="Arial"/>
          <w:noProof w:val="0"/>
        </w:rPr>
        <w:t>to</w:t>
      </w:r>
      <w:r w:rsidRPr="00C54A15">
        <w:rPr>
          <w:rFonts w:cs="Arial"/>
          <w:noProof w:val="0"/>
        </w:rPr>
        <w:t xml:space="preserve"> 10% of its total portfolio value in Q4 2022.</w:t>
      </w:r>
    </w:p>
    <w:p w14:paraId="2D011AD7" w14:textId="1FF84C33" w:rsidR="00E271A9" w:rsidRPr="00C54A15" w:rsidRDefault="00E271A9" w:rsidP="0055573C">
      <w:pPr>
        <w:jc w:val="both"/>
        <w:rPr>
          <w:rFonts w:cs="Arial"/>
          <w:noProof w:val="0"/>
        </w:rPr>
      </w:pPr>
      <w:r w:rsidRPr="00C54A15">
        <w:rPr>
          <w:rFonts w:cs="Arial"/>
          <w:noProof w:val="0"/>
        </w:rPr>
        <w:t>In 2022, no significant methodological choices were made impacting the evaluation or financial estimation of key ESG risks.</w:t>
      </w:r>
    </w:p>
    <w:p w14:paraId="612EFFBA" w14:textId="77777777" w:rsidR="000953DB" w:rsidRPr="00C54A15" w:rsidRDefault="000953DB" w:rsidP="0055573C">
      <w:pPr>
        <w:jc w:val="both"/>
        <w:rPr>
          <w:rFonts w:cs="Arial"/>
          <w:noProof w:val="0"/>
        </w:rPr>
      </w:pPr>
      <w:r w:rsidRPr="00C54A15">
        <w:rPr>
          <w:rFonts w:cs="Arial"/>
          <w:noProof w:val="0"/>
        </w:rPr>
        <w:br w:type="page"/>
      </w:r>
    </w:p>
    <w:p w14:paraId="2868A85F" w14:textId="3D58DF30" w:rsidR="00A52507" w:rsidRPr="00C54A15" w:rsidRDefault="00A52507" w:rsidP="0055573C">
      <w:pPr>
        <w:pStyle w:val="Heading1"/>
        <w:jc w:val="both"/>
        <w:rPr>
          <w:rFonts w:cs="Arial"/>
          <w:noProof w:val="0"/>
        </w:rPr>
      </w:pPr>
      <w:bookmarkStart w:id="10" w:name="_Toc131689948"/>
      <w:r w:rsidRPr="00C54A15">
        <w:rPr>
          <w:rFonts w:cs="Arial"/>
          <w:noProof w:val="0"/>
        </w:rPr>
        <w:lastRenderedPageBreak/>
        <w:t xml:space="preserve">List of financial products </w:t>
      </w:r>
      <w:r w:rsidR="005878CD" w:rsidRPr="00C54A15">
        <w:rPr>
          <w:rFonts w:cs="Arial"/>
          <w:noProof w:val="0"/>
        </w:rPr>
        <w:t>referred to</w:t>
      </w:r>
      <w:r w:rsidR="00C21128" w:rsidRPr="00C54A15">
        <w:rPr>
          <w:rFonts w:cs="Arial"/>
          <w:noProof w:val="0"/>
        </w:rPr>
        <w:t xml:space="preserve"> in</w:t>
      </w:r>
      <w:r w:rsidRPr="00C54A15">
        <w:rPr>
          <w:rFonts w:cs="Arial"/>
          <w:noProof w:val="0"/>
        </w:rPr>
        <w:t xml:space="preserve"> Article</w:t>
      </w:r>
      <w:r w:rsidR="00C21128" w:rsidRPr="00C54A15">
        <w:rPr>
          <w:rFonts w:cs="Arial"/>
          <w:noProof w:val="0"/>
        </w:rPr>
        <w:t>s</w:t>
      </w:r>
      <w:r w:rsidRPr="00C54A15">
        <w:rPr>
          <w:rFonts w:cs="Arial"/>
          <w:noProof w:val="0"/>
        </w:rPr>
        <w:t xml:space="preserve"> 8 and 9 of</w:t>
      </w:r>
      <w:r w:rsidR="00C21128" w:rsidRPr="00C54A15">
        <w:rPr>
          <w:rFonts w:cs="Arial"/>
          <w:noProof w:val="0"/>
        </w:rPr>
        <w:t xml:space="preserve"> the SFDR</w:t>
      </w:r>
      <w:bookmarkEnd w:id="10"/>
    </w:p>
    <w:p w14:paraId="72444CB5" w14:textId="3A29C4FE" w:rsidR="005002E4" w:rsidRPr="00C54A15" w:rsidRDefault="003E3E94" w:rsidP="0055573C">
      <w:pPr>
        <w:jc w:val="both"/>
        <w:rPr>
          <w:rFonts w:cs="Arial"/>
          <w:noProof w:val="0"/>
          <w:szCs w:val="22"/>
        </w:rPr>
      </w:pPr>
      <w:r w:rsidRPr="00C54A15">
        <w:rPr>
          <w:rFonts w:cs="Arial"/>
          <w:noProof w:val="0"/>
          <w:szCs w:val="22"/>
        </w:rPr>
        <w:t xml:space="preserve">Our </w:t>
      </w:r>
      <w:r w:rsidR="009B47D3" w:rsidRPr="00C54A15">
        <w:rPr>
          <w:rFonts w:cs="Arial"/>
          <w:noProof w:val="0"/>
          <w:szCs w:val="22"/>
        </w:rPr>
        <w:t>Jolt Capital IV Fund is classified as an “Article 9 fund” under the Sustainable Financial Disclosure Regulation (SFDR).</w:t>
      </w:r>
    </w:p>
    <w:p w14:paraId="6F7718B7" w14:textId="4419D6B8" w:rsidR="009B47D3" w:rsidRPr="00C54A15" w:rsidRDefault="009B47D3" w:rsidP="0055573C">
      <w:pPr>
        <w:jc w:val="both"/>
        <w:rPr>
          <w:rFonts w:cs="Arial"/>
          <w:noProof w:val="0"/>
          <w:szCs w:val="22"/>
        </w:rPr>
      </w:pPr>
      <w:r w:rsidRPr="00C54A15">
        <w:rPr>
          <w:rFonts w:cs="Arial"/>
          <w:noProof w:val="0"/>
          <w:szCs w:val="22"/>
        </w:rPr>
        <w:t xml:space="preserve">The Fund Jolt Capital IV invests exclusively in companies whose products, services and data help reduce the Greenhouse Gas emissions of their customers. The sustainable objective of the Fund is to </w:t>
      </w:r>
      <w:r w:rsidR="00D72839">
        <w:rPr>
          <w:rFonts w:cs="Arial"/>
          <w:noProof w:val="0"/>
          <w:szCs w:val="22"/>
        </w:rPr>
        <w:t>avoid at least</w:t>
      </w:r>
      <w:r w:rsidRPr="00C54A15">
        <w:rPr>
          <w:rFonts w:cs="Arial"/>
          <w:noProof w:val="0"/>
          <w:szCs w:val="22"/>
        </w:rPr>
        <w:t xml:space="preserve"> 500 000 tCO</w:t>
      </w:r>
      <w:r w:rsidRPr="00C54A15">
        <w:rPr>
          <w:rFonts w:cs="Arial"/>
          <w:noProof w:val="0"/>
          <w:szCs w:val="22"/>
          <w:vertAlign w:val="subscript"/>
        </w:rPr>
        <w:t>2</w:t>
      </w:r>
      <w:r w:rsidRPr="00C54A15">
        <w:rPr>
          <w:rFonts w:cs="Arial"/>
          <w:noProof w:val="0"/>
          <w:szCs w:val="22"/>
        </w:rPr>
        <w:t xml:space="preserve">eq </w:t>
      </w:r>
      <w:r w:rsidR="00D72839">
        <w:rPr>
          <w:rFonts w:cs="Arial"/>
          <w:noProof w:val="0"/>
          <w:szCs w:val="22"/>
        </w:rPr>
        <w:t xml:space="preserve">GHG </w:t>
      </w:r>
      <w:r w:rsidRPr="00C54A15">
        <w:rPr>
          <w:rFonts w:cs="Arial"/>
          <w:noProof w:val="0"/>
          <w:szCs w:val="22"/>
        </w:rPr>
        <w:t>emissions across the portfolio over the holding period.</w:t>
      </w:r>
      <w:r w:rsidR="006710AF" w:rsidRPr="00C54A15">
        <w:rPr>
          <w:noProof w:val="0"/>
        </w:rPr>
        <w:t xml:space="preserve"> </w:t>
      </w:r>
      <w:r w:rsidR="006710AF" w:rsidRPr="00C54A15">
        <w:rPr>
          <w:rFonts w:cs="Arial"/>
          <w:noProof w:val="0"/>
          <w:szCs w:val="22"/>
        </w:rPr>
        <w:t xml:space="preserve">As Jolt Capital IV is an impact fund pertaining to Art 9 of SFDR, with avoided GHG emissions as a sustainability objective, Jolt Capital ensures that the </w:t>
      </w:r>
      <w:r w:rsidR="00D72839">
        <w:rPr>
          <w:rFonts w:cs="Arial"/>
          <w:noProof w:val="0"/>
          <w:szCs w:val="22"/>
        </w:rPr>
        <w:t>c</w:t>
      </w:r>
      <w:r w:rsidR="006710AF" w:rsidRPr="00C54A15">
        <w:rPr>
          <w:rFonts w:cs="Arial"/>
          <w:noProof w:val="0"/>
          <w:szCs w:val="22"/>
        </w:rPr>
        <w:t>ompan</w:t>
      </w:r>
      <w:r w:rsidR="00D72839">
        <w:rPr>
          <w:rFonts w:cs="Arial"/>
          <w:noProof w:val="0"/>
          <w:szCs w:val="22"/>
        </w:rPr>
        <w:t>ies</w:t>
      </w:r>
      <w:r w:rsidR="006710AF" w:rsidRPr="00C54A15">
        <w:rPr>
          <w:rFonts w:cs="Arial"/>
          <w:noProof w:val="0"/>
          <w:szCs w:val="22"/>
        </w:rPr>
        <w:t xml:space="preserve"> it invests in define jointly with Jolt Capital a methodology to assess the GHG emissions avoided by the data, </w:t>
      </w:r>
      <w:r w:rsidR="004E4FB2" w:rsidRPr="00C54A15">
        <w:rPr>
          <w:rFonts w:cs="Arial"/>
          <w:noProof w:val="0"/>
          <w:szCs w:val="22"/>
        </w:rPr>
        <w:t>products,</w:t>
      </w:r>
      <w:r w:rsidR="006710AF" w:rsidRPr="00C54A15">
        <w:rPr>
          <w:rFonts w:cs="Arial"/>
          <w:noProof w:val="0"/>
          <w:szCs w:val="22"/>
        </w:rPr>
        <w:t xml:space="preserve"> and services </w:t>
      </w:r>
      <w:r w:rsidR="00D72839">
        <w:rPr>
          <w:rFonts w:cs="Arial"/>
          <w:noProof w:val="0"/>
          <w:szCs w:val="22"/>
        </w:rPr>
        <w:t>they sell</w:t>
      </w:r>
      <w:r w:rsidR="006710AF" w:rsidRPr="00C54A15">
        <w:rPr>
          <w:rFonts w:cs="Arial"/>
          <w:noProof w:val="0"/>
          <w:szCs w:val="22"/>
        </w:rPr>
        <w:t xml:space="preserve"> to </w:t>
      </w:r>
      <w:r w:rsidR="00D72839">
        <w:rPr>
          <w:rFonts w:cs="Arial"/>
          <w:noProof w:val="0"/>
          <w:szCs w:val="22"/>
        </w:rPr>
        <w:t>their</w:t>
      </w:r>
      <w:r w:rsidR="006710AF" w:rsidRPr="00C54A15">
        <w:rPr>
          <w:rFonts w:cs="Arial"/>
          <w:noProof w:val="0"/>
          <w:szCs w:val="22"/>
        </w:rPr>
        <w:t xml:space="preserve"> customers</w:t>
      </w:r>
      <w:r w:rsidR="00D72839">
        <w:rPr>
          <w:rFonts w:cs="Arial"/>
          <w:noProof w:val="0"/>
          <w:szCs w:val="22"/>
        </w:rPr>
        <w:t xml:space="preserve"> ; </w:t>
      </w:r>
      <w:r w:rsidR="006710AF" w:rsidRPr="00C54A15">
        <w:rPr>
          <w:rFonts w:cs="Arial"/>
          <w:noProof w:val="0"/>
          <w:szCs w:val="22"/>
        </w:rPr>
        <w:t>and report on this metric on a yearly basis to Jolt Capital.</w:t>
      </w:r>
    </w:p>
    <w:sectPr w:rsidR="009B47D3" w:rsidRPr="00C54A15" w:rsidSect="00DF189B">
      <w:footerReference w:type="default" r:id="rId19"/>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597C" w14:textId="77777777" w:rsidR="000F0637" w:rsidRDefault="000F0637" w:rsidP="00943DBA">
      <w:r>
        <w:separator/>
      </w:r>
    </w:p>
  </w:endnote>
  <w:endnote w:type="continuationSeparator" w:id="0">
    <w:p w14:paraId="37D30C6F" w14:textId="77777777" w:rsidR="000F0637" w:rsidRDefault="000F0637" w:rsidP="00943DBA">
      <w:r>
        <w:continuationSeparator/>
      </w:r>
    </w:p>
  </w:endnote>
  <w:endnote w:type="continuationNotice" w:id="1">
    <w:p w14:paraId="6DAA95F6" w14:textId="77777777" w:rsidR="000F0637" w:rsidRDefault="000F0637" w:rsidP="00943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1771984"/>
      <w:docPartObj>
        <w:docPartGallery w:val="Page Numbers (Bottom of Page)"/>
        <w:docPartUnique/>
      </w:docPartObj>
    </w:sdtPr>
    <w:sdtEndPr>
      <w:rPr>
        <w:noProof/>
      </w:rPr>
    </w:sdtEndPr>
    <w:sdtContent>
      <w:p w14:paraId="3FD84C68" w14:textId="33751254" w:rsidR="00DF189B" w:rsidRDefault="00DF189B">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7B8B368" w14:textId="77777777" w:rsidR="00DF189B" w:rsidRDefault="00DF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49F5" w14:textId="77777777" w:rsidR="000F0637" w:rsidRDefault="000F0637" w:rsidP="00943DBA">
      <w:r>
        <w:separator/>
      </w:r>
    </w:p>
  </w:footnote>
  <w:footnote w:type="continuationSeparator" w:id="0">
    <w:p w14:paraId="4B07CAEF" w14:textId="77777777" w:rsidR="000F0637" w:rsidRDefault="000F0637" w:rsidP="00943DBA">
      <w:r>
        <w:continuationSeparator/>
      </w:r>
    </w:p>
  </w:footnote>
  <w:footnote w:type="continuationNotice" w:id="1">
    <w:p w14:paraId="1358728E" w14:textId="77777777" w:rsidR="000F0637" w:rsidRDefault="000F0637" w:rsidP="00943D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32E"/>
    <w:multiLevelType w:val="hybridMultilevel"/>
    <w:tmpl w:val="55643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2018D"/>
    <w:multiLevelType w:val="hybridMultilevel"/>
    <w:tmpl w:val="3E18A8BE"/>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5684"/>
    <w:multiLevelType w:val="hybridMultilevel"/>
    <w:tmpl w:val="A3767664"/>
    <w:lvl w:ilvl="0" w:tplc="FFFFFFFF">
      <w:start w:val="1"/>
      <w:numFmt w:val="bullet"/>
      <w:lvlText w:val=""/>
      <w:lvlJc w:val="left"/>
      <w:pPr>
        <w:ind w:left="720" w:hanging="360"/>
      </w:pPr>
      <w:rPr>
        <w:rFonts w:ascii="Symbol" w:hAnsi="Symbol" w:hint="default"/>
      </w:rPr>
    </w:lvl>
    <w:lvl w:ilvl="1" w:tplc="7BDAB68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3C710A"/>
    <w:multiLevelType w:val="hybridMultilevel"/>
    <w:tmpl w:val="F9B06FF4"/>
    <w:lvl w:ilvl="0" w:tplc="F3F6AF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01171"/>
    <w:multiLevelType w:val="hybridMultilevel"/>
    <w:tmpl w:val="0EDA2F3A"/>
    <w:lvl w:ilvl="0" w:tplc="7BDAB688">
      <w:start w:val="1"/>
      <w:numFmt w:val="bullet"/>
      <w:lvlText w:val=""/>
      <w:lvlJc w:val="left"/>
      <w:pPr>
        <w:ind w:left="720" w:hanging="360"/>
      </w:pPr>
      <w:rPr>
        <w:rFonts w:ascii="Symbol" w:hAnsi="Symbol" w:hint="default"/>
      </w:rPr>
    </w:lvl>
    <w:lvl w:ilvl="1" w:tplc="C4DA8D12">
      <w:numFmt w:val="bullet"/>
      <w:lvlText w:val="•"/>
      <w:lvlJc w:val="left"/>
      <w:pPr>
        <w:ind w:left="1440" w:hanging="360"/>
      </w:pPr>
      <w:rPr>
        <w:rFonts w:ascii="Arial" w:eastAsiaTheme="minorHAnsi" w:hAnsi="Arial" w:cs="Arial" w:hint="default"/>
      </w:rPr>
    </w:lvl>
    <w:lvl w:ilvl="2" w:tplc="0E10BCA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B611D"/>
    <w:multiLevelType w:val="hybridMultilevel"/>
    <w:tmpl w:val="B63E1F40"/>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02BBD"/>
    <w:multiLevelType w:val="hybridMultilevel"/>
    <w:tmpl w:val="70C6C83C"/>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A281F"/>
    <w:multiLevelType w:val="hybridMultilevel"/>
    <w:tmpl w:val="BAFAA438"/>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F6076"/>
    <w:multiLevelType w:val="hybridMultilevel"/>
    <w:tmpl w:val="9222B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444E1"/>
    <w:multiLevelType w:val="hybridMultilevel"/>
    <w:tmpl w:val="3CD2CD98"/>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80E37"/>
    <w:multiLevelType w:val="hybridMultilevel"/>
    <w:tmpl w:val="18EA2144"/>
    <w:lvl w:ilvl="0" w:tplc="7BDAB6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F1B54"/>
    <w:multiLevelType w:val="hybridMultilevel"/>
    <w:tmpl w:val="1B362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768F9"/>
    <w:multiLevelType w:val="hybridMultilevel"/>
    <w:tmpl w:val="E97E376C"/>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D4906"/>
    <w:multiLevelType w:val="hybridMultilevel"/>
    <w:tmpl w:val="792AB788"/>
    <w:lvl w:ilvl="0" w:tplc="FFFFFFFF">
      <w:start w:val="1"/>
      <w:numFmt w:val="bullet"/>
      <w:lvlText w:val=""/>
      <w:lvlJc w:val="left"/>
      <w:pPr>
        <w:ind w:left="720" w:hanging="360"/>
      </w:pPr>
      <w:rPr>
        <w:rFonts w:ascii="Symbol" w:hAnsi="Symbol" w:hint="default"/>
      </w:rPr>
    </w:lvl>
    <w:lvl w:ilvl="1" w:tplc="7BDAB68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3019E1"/>
    <w:multiLevelType w:val="hybridMultilevel"/>
    <w:tmpl w:val="0758FE56"/>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0678"/>
    <w:multiLevelType w:val="hybridMultilevel"/>
    <w:tmpl w:val="41943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37B1F"/>
    <w:multiLevelType w:val="hybridMultilevel"/>
    <w:tmpl w:val="2DA45686"/>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1271E"/>
    <w:multiLevelType w:val="hybridMultilevel"/>
    <w:tmpl w:val="CC8C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F2BDE"/>
    <w:multiLevelType w:val="hybridMultilevel"/>
    <w:tmpl w:val="3BCA116E"/>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F4EB7"/>
    <w:multiLevelType w:val="hybridMultilevel"/>
    <w:tmpl w:val="1EE22130"/>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D42BB"/>
    <w:multiLevelType w:val="hybridMultilevel"/>
    <w:tmpl w:val="2168E7DC"/>
    <w:lvl w:ilvl="0" w:tplc="A1945B30">
      <w:start w:val="1"/>
      <w:numFmt w:val="upperLetter"/>
      <w:pStyle w:val="Heading2"/>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13F46"/>
    <w:multiLevelType w:val="hybridMultilevel"/>
    <w:tmpl w:val="14265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0599B"/>
    <w:multiLevelType w:val="hybridMultilevel"/>
    <w:tmpl w:val="AFD8627E"/>
    <w:lvl w:ilvl="0" w:tplc="7BDAB68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F00F53"/>
    <w:multiLevelType w:val="hybridMultilevel"/>
    <w:tmpl w:val="9CD29A32"/>
    <w:lvl w:ilvl="0" w:tplc="E0301C64">
      <w:start w:val="1"/>
      <w:numFmt w:val="upperRoman"/>
      <w:pStyle w:val="Heading1"/>
      <w:lvlText w:val="%1."/>
      <w:lvlJc w:val="left"/>
      <w:pPr>
        <w:ind w:left="1080" w:hanging="72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66730D"/>
    <w:multiLevelType w:val="hybridMultilevel"/>
    <w:tmpl w:val="1524535C"/>
    <w:lvl w:ilvl="0" w:tplc="9B84A7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B5976"/>
    <w:multiLevelType w:val="hybridMultilevel"/>
    <w:tmpl w:val="B93A6D5E"/>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66468"/>
    <w:multiLevelType w:val="hybridMultilevel"/>
    <w:tmpl w:val="4E406C38"/>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74830"/>
    <w:multiLevelType w:val="hybridMultilevel"/>
    <w:tmpl w:val="1C042CDC"/>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51F2F"/>
    <w:multiLevelType w:val="hybridMultilevel"/>
    <w:tmpl w:val="969C8148"/>
    <w:lvl w:ilvl="0" w:tplc="7BDAB688">
      <w:start w:val="1"/>
      <w:numFmt w:val="bullet"/>
      <w:lvlText w:val=""/>
      <w:lvlJc w:val="left"/>
      <w:pPr>
        <w:ind w:left="720" w:hanging="360"/>
      </w:pPr>
      <w:rPr>
        <w:rFonts w:ascii="Symbol" w:hAnsi="Symbol" w:hint="default"/>
      </w:rPr>
    </w:lvl>
    <w:lvl w:ilvl="1" w:tplc="2C94AB02">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231FBD"/>
    <w:multiLevelType w:val="hybridMultilevel"/>
    <w:tmpl w:val="A4F0138E"/>
    <w:lvl w:ilvl="0" w:tplc="7BDAB68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C006CD"/>
    <w:multiLevelType w:val="hybridMultilevel"/>
    <w:tmpl w:val="CDF8261E"/>
    <w:lvl w:ilvl="0" w:tplc="155E1188">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661C02D1"/>
    <w:multiLevelType w:val="hybridMultilevel"/>
    <w:tmpl w:val="923A3EEA"/>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11BB9"/>
    <w:multiLevelType w:val="hybridMultilevel"/>
    <w:tmpl w:val="6E76183A"/>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A201E"/>
    <w:multiLevelType w:val="hybridMultilevel"/>
    <w:tmpl w:val="BF3AB2EE"/>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52012"/>
    <w:multiLevelType w:val="hybridMultilevel"/>
    <w:tmpl w:val="22DEF702"/>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47C12"/>
    <w:multiLevelType w:val="hybridMultilevel"/>
    <w:tmpl w:val="3AA402DE"/>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60EDF"/>
    <w:multiLevelType w:val="hybridMultilevel"/>
    <w:tmpl w:val="7A8E0D88"/>
    <w:lvl w:ilvl="0" w:tplc="7BDAB688">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7" w15:restartNumberingAfterBreak="0">
    <w:nsid w:val="767651DD"/>
    <w:multiLevelType w:val="hybridMultilevel"/>
    <w:tmpl w:val="B0D8F762"/>
    <w:lvl w:ilvl="0" w:tplc="7BDAB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8"/>
  </w:num>
  <w:num w:numId="4">
    <w:abstractNumId w:val="14"/>
  </w:num>
  <w:num w:numId="5">
    <w:abstractNumId w:val="33"/>
  </w:num>
  <w:num w:numId="6">
    <w:abstractNumId w:val="27"/>
  </w:num>
  <w:num w:numId="7">
    <w:abstractNumId w:val="18"/>
  </w:num>
  <w:num w:numId="8">
    <w:abstractNumId w:val="29"/>
  </w:num>
  <w:num w:numId="9">
    <w:abstractNumId w:val="22"/>
  </w:num>
  <w:num w:numId="10">
    <w:abstractNumId w:val="4"/>
  </w:num>
  <w:num w:numId="11">
    <w:abstractNumId w:val="2"/>
  </w:num>
  <w:num w:numId="12">
    <w:abstractNumId w:val="13"/>
  </w:num>
  <w:num w:numId="13">
    <w:abstractNumId w:val="31"/>
  </w:num>
  <w:num w:numId="14">
    <w:abstractNumId w:val="19"/>
  </w:num>
  <w:num w:numId="15">
    <w:abstractNumId w:val="10"/>
  </w:num>
  <w:num w:numId="16">
    <w:abstractNumId w:val="16"/>
  </w:num>
  <w:num w:numId="17">
    <w:abstractNumId w:val="3"/>
  </w:num>
  <w:num w:numId="18">
    <w:abstractNumId w:val="9"/>
  </w:num>
  <w:num w:numId="19">
    <w:abstractNumId w:val="24"/>
  </w:num>
  <w:num w:numId="20">
    <w:abstractNumId w:val="34"/>
  </w:num>
  <w:num w:numId="21">
    <w:abstractNumId w:val="35"/>
  </w:num>
  <w:num w:numId="22">
    <w:abstractNumId w:val="21"/>
  </w:num>
  <w:num w:numId="23">
    <w:abstractNumId w:val="12"/>
  </w:num>
  <w:num w:numId="24">
    <w:abstractNumId w:val="5"/>
  </w:num>
  <w:num w:numId="25">
    <w:abstractNumId w:val="26"/>
  </w:num>
  <w:num w:numId="26">
    <w:abstractNumId w:val="25"/>
  </w:num>
  <w:num w:numId="27">
    <w:abstractNumId w:val="7"/>
  </w:num>
  <w:num w:numId="28">
    <w:abstractNumId w:val="37"/>
  </w:num>
  <w:num w:numId="29">
    <w:abstractNumId w:val="17"/>
  </w:num>
  <w:num w:numId="30">
    <w:abstractNumId w:val="11"/>
  </w:num>
  <w:num w:numId="31">
    <w:abstractNumId w:val="0"/>
  </w:num>
  <w:num w:numId="32">
    <w:abstractNumId w:val="6"/>
  </w:num>
  <w:num w:numId="33">
    <w:abstractNumId w:val="30"/>
  </w:num>
  <w:num w:numId="34">
    <w:abstractNumId w:val="36"/>
  </w:num>
  <w:num w:numId="35">
    <w:abstractNumId w:val="20"/>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15"/>
  </w:num>
  <w:num w:numId="44">
    <w:abstractNumId w:val="32"/>
  </w:num>
  <w:num w:numId="4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02"/>
    <w:rsid w:val="000001FC"/>
    <w:rsid w:val="00001123"/>
    <w:rsid w:val="00006E36"/>
    <w:rsid w:val="00010583"/>
    <w:rsid w:val="000110FD"/>
    <w:rsid w:val="00012E25"/>
    <w:rsid w:val="000136E2"/>
    <w:rsid w:val="00013FE1"/>
    <w:rsid w:val="00014CFE"/>
    <w:rsid w:val="00017A5A"/>
    <w:rsid w:val="00017C5E"/>
    <w:rsid w:val="00023B85"/>
    <w:rsid w:val="0002459A"/>
    <w:rsid w:val="000246C6"/>
    <w:rsid w:val="00032837"/>
    <w:rsid w:val="00033511"/>
    <w:rsid w:val="00034C33"/>
    <w:rsid w:val="00036BDC"/>
    <w:rsid w:val="00037836"/>
    <w:rsid w:val="000407CE"/>
    <w:rsid w:val="000408CD"/>
    <w:rsid w:val="000411C2"/>
    <w:rsid w:val="00042D97"/>
    <w:rsid w:val="00043C69"/>
    <w:rsid w:val="00043CB8"/>
    <w:rsid w:val="000445B7"/>
    <w:rsid w:val="00045179"/>
    <w:rsid w:val="0004544D"/>
    <w:rsid w:val="00046BF2"/>
    <w:rsid w:val="00046CB0"/>
    <w:rsid w:val="000519CD"/>
    <w:rsid w:val="00053AD1"/>
    <w:rsid w:val="00054E21"/>
    <w:rsid w:val="00055A3C"/>
    <w:rsid w:val="00055C3F"/>
    <w:rsid w:val="000575BF"/>
    <w:rsid w:val="000638D2"/>
    <w:rsid w:val="00063B64"/>
    <w:rsid w:val="00063DEB"/>
    <w:rsid w:val="00064C38"/>
    <w:rsid w:val="00065B00"/>
    <w:rsid w:val="000660BE"/>
    <w:rsid w:val="0006643F"/>
    <w:rsid w:val="00072190"/>
    <w:rsid w:val="00072578"/>
    <w:rsid w:val="00075CF0"/>
    <w:rsid w:val="00076633"/>
    <w:rsid w:val="0007669E"/>
    <w:rsid w:val="00080F25"/>
    <w:rsid w:val="00082C22"/>
    <w:rsid w:val="00087BB6"/>
    <w:rsid w:val="00090CEC"/>
    <w:rsid w:val="00091309"/>
    <w:rsid w:val="00091977"/>
    <w:rsid w:val="000953DB"/>
    <w:rsid w:val="00095487"/>
    <w:rsid w:val="00096218"/>
    <w:rsid w:val="00096CAA"/>
    <w:rsid w:val="00096E51"/>
    <w:rsid w:val="00097ACE"/>
    <w:rsid w:val="000A133D"/>
    <w:rsid w:val="000A1947"/>
    <w:rsid w:val="000A1E2F"/>
    <w:rsid w:val="000A3B14"/>
    <w:rsid w:val="000A516F"/>
    <w:rsid w:val="000A6000"/>
    <w:rsid w:val="000A66C3"/>
    <w:rsid w:val="000A6C4F"/>
    <w:rsid w:val="000B085E"/>
    <w:rsid w:val="000B1E3A"/>
    <w:rsid w:val="000B469B"/>
    <w:rsid w:val="000B7201"/>
    <w:rsid w:val="000B7E12"/>
    <w:rsid w:val="000C2155"/>
    <w:rsid w:val="000C27DA"/>
    <w:rsid w:val="000C288F"/>
    <w:rsid w:val="000C3511"/>
    <w:rsid w:val="000C4E02"/>
    <w:rsid w:val="000C6C0B"/>
    <w:rsid w:val="000D2E25"/>
    <w:rsid w:val="000D35BE"/>
    <w:rsid w:val="000D5C81"/>
    <w:rsid w:val="000D5FAE"/>
    <w:rsid w:val="000D68F1"/>
    <w:rsid w:val="000D7579"/>
    <w:rsid w:val="000D759A"/>
    <w:rsid w:val="000E128F"/>
    <w:rsid w:val="000E1AD4"/>
    <w:rsid w:val="000E3004"/>
    <w:rsid w:val="000E4D15"/>
    <w:rsid w:val="000E5A20"/>
    <w:rsid w:val="000E60EA"/>
    <w:rsid w:val="000E68CF"/>
    <w:rsid w:val="000F0099"/>
    <w:rsid w:val="000F04A8"/>
    <w:rsid w:val="000F0637"/>
    <w:rsid w:val="000F2697"/>
    <w:rsid w:val="000F2A51"/>
    <w:rsid w:val="000F31B8"/>
    <w:rsid w:val="000F39D4"/>
    <w:rsid w:val="000F77D9"/>
    <w:rsid w:val="000F7825"/>
    <w:rsid w:val="00102CB2"/>
    <w:rsid w:val="001045A5"/>
    <w:rsid w:val="00105979"/>
    <w:rsid w:val="001066BE"/>
    <w:rsid w:val="00107B89"/>
    <w:rsid w:val="00115002"/>
    <w:rsid w:val="0011652D"/>
    <w:rsid w:val="00116CF5"/>
    <w:rsid w:val="001205CF"/>
    <w:rsid w:val="00121489"/>
    <w:rsid w:val="00121604"/>
    <w:rsid w:val="001236CE"/>
    <w:rsid w:val="00125595"/>
    <w:rsid w:val="001270D2"/>
    <w:rsid w:val="001319C4"/>
    <w:rsid w:val="001339D7"/>
    <w:rsid w:val="00135FFC"/>
    <w:rsid w:val="00136171"/>
    <w:rsid w:val="00136FD7"/>
    <w:rsid w:val="00137681"/>
    <w:rsid w:val="001410B6"/>
    <w:rsid w:val="0014181A"/>
    <w:rsid w:val="00142F3E"/>
    <w:rsid w:val="00143224"/>
    <w:rsid w:val="0014340D"/>
    <w:rsid w:val="00144A53"/>
    <w:rsid w:val="00146E70"/>
    <w:rsid w:val="001512E4"/>
    <w:rsid w:val="00155B95"/>
    <w:rsid w:val="00161427"/>
    <w:rsid w:val="00162115"/>
    <w:rsid w:val="001626E9"/>
    <w:rsid w:val="001643D9"/>
    <w:rsid w:val="00165ECF"/>
    <w:rsid w:val="00166AEA"/>
    <w:rsid w:val="00166F6E"/>
    <w:rsid w:val="00174DE0"/>
    <w:rsid w:val="0017534F"/>
    <w:rsid w:val="00181915"/>
    <w:rsid w:val="00181F84"/>
    <w:rsid w:val="001836EB"/>
    <w:rsid w:val="00185CEF"/>
    <w:rsid w:val="0018682B"/>
    <w:rsid w:val="001932C0"/>
    <w:rsid w:val="00194CB7"/>
    <w:rsid w:val="001970A8"/>
    <w:rsid w:val="001A13F2"/>
    <w:rsid w:val="001A2D7D"/>
    <w:rsid w:val="001A3446"/>
    <w:rsid w:val="001A68CC"/>
    <w:rsid w:val="001A73E2"/>
    <w:rsid w:val="001A7F49"/>
    <w:rsid w:val="001B1924"/>
    <w:rsid w:val="001B36FA"/>
    <w:rsid w:val="001B4401"/>
    <w:rsid w:val="001C0601"/>
    <w:rsid w:val="001C6091"/>
    <w:rsid w:val="001C731B"/>
    <w:rsid w:val="001D0DB0"/>
    <w:rsid w:val="001D1C13"/>
    <w:rsid w:val="001D472F"/>
    <w:rsid w:val="001D4ECD"/>
    <w:rsid w:val="001D59B1"/>
    <w:rsid w:val="001D5B90"/>
    <w:rsid w:val="001D6E8B"/>
    <w:rsid w:val="001D7D91"/>
    <w:rsid w:val="001D7DBD"/>
    <w:rsid w:val="001E15A6"/>
    <w:rsid w:val="001E3117"/>
    <w:rsid w:val="001E3713"/>
    <w:rsid w:val="001E3927"/>
    <w:rsid w:val="001E39B9"/>
    <w:rsid w:val="001E3AA7"/>
    <w:rsid w:val="001E4503"/>
    <w:rsid w:val="001E4C37"/>
    <w:rsid w:val="001E61F5"/>
    <w:rsid w:val="001E6422"/>
    <w:rsid w:val="001E71A8"/>
    <w:rsid w:val="001E79C3"/>
    <w:rsid w:val="001F1636"/>
    <w:rsid w:val="001F1C47"/>
    <w:rsid w:val="001F2DD3"/>
    <w:rsid w:val="001F2FB5"/>
    <w:rsid w:val="002042AA"/>
    <w:rsid w:val="002043EC"/>
    <w:rsid w:val="00205C56"/>
    <w:rsid w:val="00206203"/>
    <w:rsid w:val="0020637E"/>
    <w:rsid w:val="0021066E"/>
    <w:rsid w:val="00211847"/>
    <w:rsid w:val="00211DDE"/>
    <w:rsid w:val="0021209D"/>
    <w:rsid w:val="0021270E"/>
    <w:rsid w:val="00214E94"/>
    <w:rsid w:val="0021559F"/>
    <w:rsid w:val="002156A1"/>
    <w:rsid w:val="0021579F"/>
    <w:rsid w:val="00215B71"/>
    <w:rsid w:val="00222390"/>
    <w:rsid w:val="00224105"/>
    <w:rsid w:val="00225812"/>
    <w:rsid w:val="00225D14"/>
    <w:rsid w:val="0022740B"/>
    <w:rsid w:val="002279CC"/>
    <w:rsid w:val="002314A6"/>
    <w:rsid w:val="002314EF"/>
    <w:rsid w:val="002321FF"/>
    <w:rsid w:val="00233053"/>
    <w:rsid w:val="002336D6"/>
    <w:rsid w:val="00234381"/>
    <w:rsid w:val="00235D14"/>
    <w:rsid w:val="0023603E"/>
    <w:rsid w:val="00237609"/>
    <w:rsid w:val="00246D1C"/>
    <w:rsid w:val="002522C8"/>
    <w:rsid w:val="002526DB"/>
    <w:rsid w:val="0025274C"/>
    <w:rsid w:val="00252F5F"/>
    <w:rsid w:val="002532C0"/>
    <w:rsid w:val="00255CB5"/>
    <w:rsid w:val="00255DF4"/>
    <w:rsid w:val="00255E20"/>
    <w:rsid w:val="002560DD"/>
    <w:rsid w:val="002563AA"/>
    <w:rsid w:val="0025676F"/>
    <w:rsid w:val="002569D9"/>
    <w:rsid w:val="00256F91"/>
    <w:rsid w:val="002573AE"/>
    <w:rsid w:val="0025744A"/>
    <w:rsid w:val="00257A0B"/>
    <w:rsid w:val="0025961A"/>
    <w:rsid w:val="0026051C"/>
    <w:rsid w:val="002632A8"/>
    <w:rsid w:val="0026414D"/>
    <w:rsid w:val="00264769"/>
    <w:rsid w:val="00265200"/>
    <w:rsid w:val="00270F0D"/>
    <w:rsid w:val="00273044"/>
    <w:rsid w:val="0027548D"/>
    <w:rsid w:val="00275864"/>
    <w:rsid w:val="002764C0"/>
    <w:rsid w:val="00276C6A"/>
    <w:rsid w:val="00277000"/>
    <w:rsid w:val="0028435F"/>
    <w:rsid w:val="0028736B"/>
    <w:rsid w:val="002877E1"/>
    <w:rsid w:val="002930B6"/>
    <w:rsid w:val="002944F5"/>
    <w:rsid w:val="002977B6"/>
    <w:rsid w:val="00297986"/>
    <w:rsid w:val="002A035B"/>
    <w:rsid w:val="002A0CE4"/>
    <w:rsid w:val="002A48BC"/>
    <w:rsid w:val="002A5573"/>
    <w:rsid w:val="002A6310"/>
    <w:rsid w:val="002B0D81"/>
    <w:rsid w:val="002B10A1"/>
    <w:rsid w:val="002B16FD"/>
    <w:rsid w:val="002B17C2"/>
    <w:rsid w:val="002B32A6"/>
    <w:rsid w:val="002B32B4"/>
    <w:rsid w:val="002B635C"/>
    <w:rsid w:val="002B6635"/>
    <w:rsid w:val="002B7589"/>
    <w:rsid w:val="002C1546"/>
    <w:rsid w:val="002C24E1"/>
    <w:rsid w:val="002C3AA1"/>
    <w:rsid w:val="002C3C95"/>
    <w:rsid w:val="002C3DC1"/>
    <w:rsid w:val="002C489E"/>
    <w:rsid w:val="002C5F31"/>
    <w:rsid w:val="002D01E9"/>
    <w:rsid w:val="002D5C9E"/>
    <w:rsid w:val="002D615C"/>
    <w:rsid w:val="002E14F7"/>
    <w:rsid w:val="002E15C5"/>
    <w:rsid w:val="002E3BC0"/>
    <w:rsid w:val="002E5CD7"/>
    <w:rsid w:val="002E6E6D"/>
    <w:rsid w:val="002F01F0"/>
    <w:rsid w:val="002F0B1B"/>
    <w:rsid w:val="002F11E4"/>
    <w:rsid w:val="002F18E7"/>
    <w:rsid w:val="002F3475"/>
    <w:rsid w:val="002F5852"/>
    <w:rsid w:val="00301CB9"/>
    <w:rsid w:val="00302C7C"/>
    <w:rsid w:val="003034A7"/>
    <w:rsid w:val="00303AE0"/>
    <w:rsid w:val="00304B62"/>
    <w:rsid w:val="00305DBE"/>
    <w:rsid w:val="0030652C"/>
    <w:rsid w:val="00306B14"/>
    <w:rsid w:val="003106B6"/>
    <w:rsid w:val="00310CD3"/>
    <w:rsid w:val="003112CE"/>
    <w:rsid w:val="00312AC5"/>
    <w:rsid w:val="0031317A"/>
    <w:rsid w:val="003135AB"/>
    <w:rsid w:val="00315BED"/>
    <w:rsid w:val="00317779"/>
    <w:rsid w:val="003205AE"/>
    <w:rsid w:val="00320DEC"/>
    <w:rsid w:val="0032131F"/>
    <w:rsid w:val="00323F3F"/>
    <w:rsid w:val="00324A20"/>
    <w:rsid w:val="00324B1A"/>
    <w:rsid w:val="00326263"/>
    <w:rsid w:val="00326535"/>
    <w:rsid w:val="003268E6"/>
    <w:rsid w:val="00326904"/>
    <w:rsid w:val="003273F3"/>
    <w:rsid w:val="00327C16"/>
    <w:rsid w:val="00327C38"/>
    <w:rsid w:val="003316F0"/>
    <w:rsid w:val="00331F61"/>
    <w:rsid w:val="0033282E"/>
    <w:rsid w:val="0033415A"/>
    <w:rsid w:val="003342D3"/>
    <w:rsid w:val="00335787"/>
    <w:rsid w:val="00336282"/>
    <w:rsid w:val="00336895"/>
    <w:rsid w:val="003377BB"/>
    <w:rsid w:val="00337B04"/>
    <w:rsid w:val="0034197D"/>
    <w:rsid w:val="00342D6E"/>
    <w:rsid w:val="003433EC"/>
    <w:rsid w:val="00346A44"/>
    <w:rsid w:val="00350D73"/>
    <w:rsid w:val="00351964"/>
    <w:rsid w:val="003553D1"/>
    <w:rsid w:val="0035749C"/>
    <w:rsid w:val="00357AE1"/>
    <w:rsid w:val="003604EF"/>
    <w:rsid w:val="00360849"/>
    <w:rsid w:val="00363ABF"/>
    <w:rsid w:val="00363B92"/>
    <w:rsid w:val="0036428A"/>
    <w:rsid w:val="00365FB8"/>
    <w:rsid w:val="003672C4"/>
    <w:rsid w:val="00367959"/>
    <w:rsid w:val="00370AC4"/>
    <w:rsid w:val="00371825"/>
    <w:rsid w:val="003729FA"/>
    <w:rsid w:val="00374EA1"/>
    <w:rsid w:val="00375A35"/>
    <w:rsid w:val="003763E9"/>
    <w:rsid w:val="00376D11"/>
    <w:rsid w:val="00380850"/>
    <w:rsid w:val="00381590"/>
    <w:rsid w:val="00381A41"/>
    <w:rsid w:val="00381C51"/>
    <w:rsid w:val="00382F7A"/>
    <w:rsid w:val="00386134"/>
    <w:rsid w:val="00387373"/>
    <w:rsid w:val="00387EFD"/>
    <w:rsid w:val="00391223"/>
    <w:rsid w:val="00391BEF"/>
    <w:rsid w:val="00393EDD"/>
    <w:rsid w:val="00394586"/>
    <w:rsid w:val="00396AD7"/>
    <w:rsid w:val="00397E43"/>
    <w:rsid w:val="003A0EE4"/>
    <w:rsid w:val="003A2A40"/>
    <w:rsid w:val="003A2F46"/>
    <w:rsid w:val="003A4A16"/>
    <w:rsid w:val="003A7AA8"/>
    <w:rsid w:val="003B1673"/>
    <w:rsid w:val="003B33AC"/>
    <w:rsid w:val="003B3745"/>
    <w:rsid w:val="003C020E"/>
    <w:rsid w:val="003C1304"/>
    <w:rsid w:val="003C45FF"/>
    <w:rsid w:val="003C4790"/>
    <w:rsid w:val="003C4CD3"/>
    <w:rsid w:val="003C4FAD"/>
    <w:rsid w:val="003C6F74"/>
    <w:rsid w:val="003C79E1"/>
    <w:rsid w:val="003D0807"/>
    <w:rsid w:val="003D31B6"/>
    <w:rsid w:val="003D42A9"/>
    <w:rsid w:val="003D63CE"/>
    <w:rsid w:val="003D6BC4"/>
    <w:rsid w:val="003E0ED1"/>
    <w:rsid w:val="003E0FE1"/>
    <w:rsid w:val="003E3E94"/>
    <w:rsid w:val="003E424E"/>
    <w:rsid w:val="003E5340"/>
    <w:rsid w:val="003E5B59"/>
    <w:rsid w:val="003F175D"/>
    <w:rsid w:val="003F1780"/>
    <w:rsid w:val="003F4161"/>
    <w:rsid w:val="003F5994"/>
    <w:rsid w:val="003F6C76"/>
    <w:rsid w:val="003F7FCC"/>
    <w:rsid w:val="00400D08"/>
    <w:rsid w:val="00402AED"/>
    <w:rsid w:val="00402D04"/>
    <w:rsid w:val="00403A61"/>
    <w:rsid w:val="00403D4D"/>
    <w:rsid w:val="0040421D"/>
    <w:rsid w:val="00405FAB"/>
    <w:rsid w:val="00406D7C"/>
    <w:rsid w:val="00410F00"/>
    <w:rsid w:val="004117A3"/>
    <w:rsid w:val="0041347D"/>
    <w:rsid w:val="00413C07"/>
    <w:rsid w:val="00414FE5"/>
    <w:rsid w:val="00416A45"/>
    <w:rsid w:val="00417C37"/>
    <w:rsid w:val="00417F41"/>
    <w:rsid w:val="00421BAF"/>
    <w:rsid w:val="004235CF"/>
    <w:rsid w:val="004246C4"/>
    <w:rsid w:val="004248AF"/>
    <w:rsid w:val="00424F20"/>
    <w:rsid w:val="00425211"/>
    <w:rsid w:val="00425698"/>
    <w:rsid w:val="00427D2E"/>
    <w:rsid w:val="00427E0A"/>
    <w:rsid w:val="0043032D"/>
    <w:rsid w:val="004305EC"/>
    <w:rsid w:val="004341F0"/>
    <w:rsid w:val="0043471D"/>
    <w:rsid w:val="00435960"/>
    <w:rsid w:val="00437721"/>
    <w:rsid w:val="00440D7F"/>
    <w:rsid w:val="00442666"/>
    <w:rsid w:val="00444F11"/>
    <w:rsid w:val="00446B5E"/>
    <w:rsid w:val="0045034E"/>
    <w:rsid w:val="00453AB3"/>
    <w:rsid w:val="004576D9"/>
    <w:rsid w:val="00457B13"/>
    <w:rsid w:val="00457BB5"/>
    <w:rsid w:val="004605CE"/>
    <w:rsid w:val="004607A8"/>
    <w:rsid w:val="00464CF6"/>
    <w:rsid w:val="00464D26"/>
    <w:rsid w:val="004713C2"/>
    <w:rsid w:val="004737BD"/>
    <w:rsid w:val="0047611E"/>
    <w:rsid w:val="004809ED"/>
    <w:rsid w:val="004823C9"/>
    <w:rsid w:val="00483128"/>
    <w:rsid w:val="00483864"/>
    <w:rsid w:val="00483B86"/>
    <w:rsid w:val="0048521D"/>
    <w:rsid w:val="00485982"/>
    <w:rsid w:val="00486E7B"/>
    <w:rsid w:val="0049061D"/>
    <w:rsid w:val="004908C7"/>
    <w:rsid w:val="00493341"/>
    <w:rsid w:val="004936D9"/>
    <w:rsid w:val="00495326"/>
    <w:rsid w:val="00495E24"/>
    <w:rsid w:val="00496085"/>
    <w:rsid w:val="00497628"/>
    <w:rsid w:val="00497D26"/>
    <w:rsid w:val="004A07E0"/>
    <w:rsid w:val="004A0FEE"/>
    <w:rsid w:val="004A1A8B"/>
    <w:rsid w:val="004A50AB"/>
    <w:rsid w:val="004B0515"/>
    <w:rsid w:val="004B2A2F"/>
    <w:rsid w:val="004B47AA"/>
    <w:rsid w:val="004B5B9A"/>
    <w:rsid w:val="004B6864"/>
    <w:rsid w:val="004B7A16"/>
    <w:rsid w:val="004B7C4D"/>
    <w:rsid w:val="004B7F16"/>
    <w:rsid w:val="004B7F65"/>
    <w:rsid w:val="004C0AE9"/>
    <w:rsid w:val="004C234C"/>
    <w:rsid w:val="004C30FF"/>
    <w:rsid w:val="004C427C"/>
    <w:rsid w:val="004C4540"/>
    <w:rsid w:val="004C4669"/>
    <w:rsid w:val="004C57E5"/>
    <w:rsid w:val="004D05CD"/>
    <w:rsid w:val="004D17A2"/>
    <w:rsid w:val="004D1EB7"/>
    <w:rsid w:val="004D219B"/>
    <w:rsid w:val="004D273A"/>
    <w:rsid w:val="004D31BE"/>
    <w:rsid w:val="004D5481"/>
    <w:rsid w:val="004D6298"/>
    <w:rsid w:val="004D753D"/>
    <w:rsid w:val="004D7FCC"/>
    <w:rsid w:val="004E2197"/>
    <w:rsid w:val="004E258B"/>
    <w:rsid w:val="004E3289"/>
    <w:rsid w:val="004E3752"/>
    <w:rsid w:val="004E3A18"/>
    <w:rsid w:val="004E4C3F"/>
    <w:rsid w:val="004E4FB2"/>
    <w:rsid w:val="004E5051"/>
    <w:rsid w:val="004E5438"/>
    <w:rsid w:val="004E72AF"/>
    <w:rsid w:val="004F03D8"/>
    <w:rsid w:val="004F187F"/>
    <w:rsid w:val="004F22FB"/>
    <w:rsid w:val="004F3F2D"/>
    <w:rsid w:val="004F4D91"/>
    <w:rsid w:val="004F5775"/>
    <w:rsid w:val="004F5A56"/>
    <w:rsid w:val="004F62E7"/>
    <w:rsid w:val="004F71ED"/>
    <w:rsid w:val="005002E4"/>
    <w:rsid w:val="00503E93"/>
    <w:rsid w:val="00505746"/>
    <w:rsid w:val="00506A32"/>
    <w:rsid w:val="00507DBC"/>
    <w:rsid w:val="00510AC1"/>
    <w:rsid w:val="00514AF5"/>
    <w:rsid w:val="0051785A"/>
    <w:rsid w:val="00520F75"/>
    <w:rsid w:val="00524C1D"/>
    <w:rsid w:val="00526816"/>
    <w:rsid w:val="005271D4"/>
    <w:rsid w:val="00530A64"/>
    <w:rsid w:val="00530ACE"/>
    <w:rsid w:val="00531BDC"/>
    <w:rsid w:val="00533687"/>
    <w:rsid w:val="00533E98"/>
    <w:rsid w:val="0053400C"/>
    <w:rsid w:val="00534F6E"/>
    <w:rsid w:val="0053D656"/>
    <w:rsid w:val="00541D7D"/>
    <w:rsid w:val="005436A7"/>
    <w:rsid w:val="00543928"/>
    <w:rsid w:val="00546364"/>
    <w:rsid w:val="0054713D"/>
    <w:rsid w:val="005527F5"/>
    <w:rsid w:val="00552A98"/>
    <w:rsid w:val="00553756"/>
    <w:rsid w:val="00554A74"/>
    <w:rsid w:val="0055573C"/>
    <w:rsid w:val="00556C66"/>
    <w:rsid w:val="00557AF8"/>
    <w:rsid w:val="00557D33"/>
    <w:rsid w:val="005631BE"/>
    <w:rsid w:val="005640F1"/>
    <w:rsid w:val="005650F8"/>
    <w:rsid w:val="005652E7"/>
    <w:rsid w:val="00567589"/>
    <w:rsid w:val="00571A0C"/>
    <w:rsid w:val="00572632"/>
    <w:rsid w:val="00572E63"/>
    <w:rsid w:val="00573D95"/>
    <w:rsid w:val="00574698"/>
    <w:rsid w:val="00575C22"/>
    <w:rsid w:val="005765A9"/>
    <w:rsid w:val="00577A78"/>
    <w:rsid w:val="00577CA8"/>
    <w:rsid w:val="00581670"/>
    <w:rsid w:val="0058272D"/>
    <w:rsid w:val="00584821"/>
    <w:rsid w:val="00585E6C"/>
    <w:rsid w:val="0058728D"/>
    <w:rsid w:val="005878CD"/>
    <w:rsid w:val="005903F2"/>
    <w:rsid w:val="00591CC9"/>
    <w:rsid w:val="00594FF1"/>
    <w:rsid w:val="0059501C"/>
    <w:rsid w:val="005955E8"/>
    <w:rsid w:val="00596A0D"/>
    <w:rsid w:val="005A049C"/>
    <w:rsid w:val="005A15A3"/>
    <w:rsid w:val="005A1FD5"/>
    <w:rsid w:val="005A2A62"/>
    <w:rsid w:val="005A2BC5"/>
    <w:rsid w:val="005A32E1"/>
    <w:rsid w:val="005A38A7"/>
    <w:rsid w:val="005A472A"/>
    <w:rsid w:val="005A475F"/>
    <w:rsid w:val="005A7AA0"/>
    <w:rsid w:val="005B07CE"/>
    <w:rsid w:val="005B150C"/>
    <w:rsid w:val="005B3702"/>
    <w:rsid w:val="005B57D3"/>
    <w:rsid w:val="005B6559"/>
    <w:rsid w:val="005C090F"/>
    <w:rsid w:val="005C1B38"/>
    <w:rsid w:val="005C1CED"/>
    <w:rsid w:val="005C26C7"/>
    <w:rsid w:val="005C2AE7"/>
    <w:rsid w:val="005C2B8D"/>
    <w:rsid w:val="005C337F"/>
    <w:rsid w:val="005C433B"/>
    <w:rsid w:val="005C61BB"/>
    <w:rsid w:val="005C69B2"/>
    <w:rsid w:val="005C6D45"/>
    <w:rsid w:val="005C7F7D"/>
    <w:rsid w:val="005D1914"/>
    <w:rsid w:val="005D1A5A"/>
    <w:rsid w:val="005D22B3"/>
    <w:rsid w:val="005D2587"/>
    <w:rsid w:val="005D5AC7"/>
    <w:rsid w:val="005D60C3"/>
    <w:rsid w:val="005D6159"/>
    <w:rsid w:val="005D7CA4"/>
    <w:rsid w:val="005E2207"/>
    <w:rsid w:val="005E27AD"/>
    <w:rsid w:val="005E442D"/>
    <w:rsid w:val="005E6668"/>
    <w:rsid w:val="005E6D6B"/>
    <w:rsid w:val="005F07F1"/>
    <w:rsid w:val="005F08A3"/>
    <w:rsid w:val="005F0D74"/>
    <w:rsid w:val="005F3FC1"/>
    <w:rsid w:val="005F5A2E"/>
    <w:rsid w:val="005F5DC6"/>
    <w:rsid w:val="005F6C24"/>
    <w:rsid w:val="005F79EA"/>
    <w:rsid w:val="005F7FAC"/>
    <w:rsid w:val="006005F2"/>
    <w:rsid w:val="00600ECC"/>
    <w:rsid w:val="00603C90"/>
    <w:rsid w:val="00607A9A"/>
    <w:rsid w:val="006106AE"/>
    <w:rsid w:val="0061153F"/>
    <w:rsid w:val="00611F39"/>
    <w:rsid w:val="00612442"/>
    <w:rsid w:val="00613CEF"/>
    <w:rsid w:val="006145AD"/>
    <w:rsid w:val="00614D85"/>
    <w:rsid w:val="00615AC6"/>
    <w:rsid w:val="00615E7F"/>
    <w:rsid w:val="00616648"/>
    <w:rsid w:val="00616F3A"/>
    <w:rsid w:val="00617528"/>
    <w:rsid w:val="00617F42"/>
    <w:rsid w:val="00620EC0"/>
    <w:rsid w:val="0062136F"/>
    <w:rsid w:val="00622A8A"/>
    <w:rsid w:val="00622B17"/>
    <w:rsid w:val="00623547"/>
    <w:rsid w:val="00624536"/>
    <w:rsid w:val="0062488B"/>
    <w:rsid w:val="00624C9E"/>
    <w:rsid w:val="0062600A"/>
    <w:rsid w:val="00626440"/>
    <w:rsid w:val="00626A6F"/>
    <w:rsid w:val="00626B5C"/>
    <w:rsid w:val="006270E6"/>
    <w:rsid w:val="00631CD5"/>
    <w:rsid w:val="00631DD1"/>
    <w:rsid w:val="00631E2A"/>
    <w:rsid w:val="00633176"/>
    <w:rsid w:val="00634F49"/>
    <w:rsid w:val="00635D18"/>
    <w:rsid w:val="00635D34"/>
    <w:rsid w:val="00636A65"/>
    <w:rsid w:val="00636E2F"/>
    <w:rsid w:val="00637B7B"/>
    <w:rsid w:val="00637BB7"/>
    <w:rsid w:val="0064030A"/>
    <w:rsid w:val="0064053C"/>
    <w:rsid w:val="00641448"/>
    <w:rsid w:val="00643037"/>
    <w:rsid w:val="00643E4F"/>
    <w:rsid w:val="00643E64"/>
    <w:rsid w:val="0064674C"/>
    <w:rsid w:val="00647D54"/>
    <w:rsid w:val="00650823"/>
    <w:rsid w:val="0065120B"/>
    <w:rsid w:val="00651ADD"/>
    <w:rsid w:val="0065299F"/>
    <w:rsid w:val="00653654"/>
    <w:rsid w:val="00653840"/>
    <w:rsid w:val="00656063"/>
    <w:rsid w:val="0065744C"/>
    <w:rsid w:val="006607A2"/>
    <w:rsid w:val="00660B7D"/>
    <w:rsid w:val="00661EFB"/>
    <w:rsid w:val="00667986"/>
    <w:rsid w:val="00667F89"/>
    <w:rsid w:val="0067099E"/>
    <w:rsid w:val="006710AF"/>
    <w:rsid w:val="006710C8"/>
    <w:rsid w:val="00672186"/>
    <w:rsid w:val="00672CF9"/>
    <w:rsid w:val="0067315A"/>
    <w:rsid w:val="006742A9"/>
    <w:rsid w:val="00675FFB"/>
    <w:rsid w:val="00676A30"/>
    <w:rsid w:val="00676D43"/>
    <w:rsid w:val="00681DC4"/>
    <w:rsid w:val="006821AC"/>
    <w:rsid w:val="00683574"/>
    <w:rsid w:val="00683CC3"/>
    <w:rsid w:val="00686759"/>
    <w:rsid w:val="00686BD8"/>
    <w:rsid w:val="0069060E"/>
    <w:rsid w:val="00690877"/>
    <w:rsid w:val="00691004"/>
    <w:rsid w:val="006924DE"/>
    <w:rsid w:val="00693260"/>
    <w:rsid w:val="00693603"/>
    <w:rsid w:val="00693B19"/>
    <w:rsid w:val="006977D7"/>
    <w:rsid w:val="00697D4F"/>
    <w:rsid w:val="006A03BC"/>
    <w:rsid w:val="006A1174"/>
    <w:rsid w:val="006A3E41"/>
    <w:rsid w:val="006A4377"/>
    <w:rsid w:val="006A4659"/>
    <w:rsid w:val="006A63D3"/>
    <w:rsid w:val="006A7533"/>
    <w:rsid w:val="006A7994"/>
    <w:rsid w:val="006A7D26"/>
    <w:rsid w:val="006B3D0C"/>
    <w:rsid w:val="006B79DB"/>
    <w:rsid w:val="006C4705"/>
    <w:rsid w:val="006C5FCC"/>
    <w:rsid w:val="006C759A"/>
    <w:rsid w:val="006D03F8"/>
    <w:rsid w:val="006D42EC"/>
    <w:rsid w:val="006D5706"/>
    <w:rsid w:val="006D5AC3"/>
    <w:rsid w:val="006D6958"/>
    <w:rsid w:val="006D7103"/>
    <w:rsid w:val="006E0890"/>
    <w:rsid w:val="006E47E2"/>
    <w:rsid w:val="006E53FC"/>
    <w:rsid w:val="006E5880"/>
    <w:rsid w:val="006E66D9"/>
    <w:rsid w:val="006E6C3D"/>
    <w:rsid w:val="006EC5BF"/>
    <w:rsid w:val="006F0EA2"/>
    <w:rsid w:val="006F0F58"/>
    <w:rsid w:val="006F1F65"/>
    <w:rsid w:val="006F29AE"/>
    <w:rsid w:val="006F2A19"/>
    <w:rsid w:val="006F57EA"/>
    <w:rsid w:val="006F6808"/>
    <w:rsid w:val="006F7B95"/>
    <w:rsid w:val="0070160A"/>
    <w:rsid w:val="00701D03"/>
    <w:rsid w:val="00701F00"/>
    <w:rsid w:val="00704942"/>
    <w:rsid w:val="00704E65"/>
    <w:rsid w:val="00704FAB"/>
    <w:rsid w:val="00704FC1"/>
    <w:rsid w:val="0070536B"/>
    <w:rsid w:val="00706D76"/>
    <w:rsid w:val="007072D2"/>
    <w:rsid w:val="007102B2"/>
    <w:rsid w:val="007116B3"/>
    <w:rsid w:val="00713FB3"/>
    <w:rsid w:val="007144A6"/>
    <w:rsid w:val="00714A88"/>
    <w:rsid w:val="00716A53"/>
    <w:rsid w:val="0072006F"/>
    <w:rsid w:val="00722328"/>
    <w:rsid w:val="007227AF"/>
    <w:rsid w:val="0072638D"/>
    <w:rsid w:val="007307E0"/>
    <w:rsid w:val="007320A6"/>
    <w:rsid w:val="00732943"/>
    <w:rsid w:val="00732F88"/>
    <w:rsid w:val="00734DB4"/>
    <w:rsid w:val="00736AF3"/>
    <w:rsid w:val="00737333"/>
    <w:rsid w:val="00737582"/>
    <w:rsid w:val="007400A8"/>
    <w:rsid w:val="0074395C"/>
    <w:rsid w:val="007445CA"/>
    <w:rsid w:val="00746046"/>
    <w:rsid w:val="0074664A"/>
    <w:rsid w:val="00747692"/>
    <w:rsid w:val="00751C44"/>
    <w:rsid w:val="00752F8D"/>
    <w:rsid w:val="00753026"/>
    <w:rsid w:val="0075307D"/>
    <w:rsid w:val="007532D0"/>
    <w:rsid w:val="007544E5"/>
    <w:rsid w:val="00754911"/>
    <w:rsid w:val="007559B8"/>
    <w:rsid w:val="007601C2"/>
    <w:rsid w:val="00760475"/>
    <w:rsid w:val="00760BA4"/>
    <w:rsid w:val="007612BD"/>
    <w:rsid w:val="007632E0"/>
    <w:rsid w:val="00770193"/>
    <w:rsid w:val="0077206E"/>
    <w:rsid w:val="00774D59"/>
    <w:rsid w:val="00775A5A"/>
    <w:rsid w:val="00777CCC"/>
    <w:rsid w:val="0078038F"/>
    <w:rsid w:val="00780C8D"/>
    <w:rsid w:val="007821E4"/>
    <w:rsid w:val="00782D9D"/>
    <w:rsid w:val="007833A1"/>
    <w:rsid w:val="007833C8"/>
    <w:rsid w:val="0078532C"/>
    <w:rsid w:val="00785A0F"/>
    <w:rsid w:val="00785E08"/>
    <w:rsid w:val="00790CF9"/>
    <w:rsid w:val="00790D96"/>
    <w:rsid w:val="00792201"/>
    <w:rsid w:val="00793591"/>
    <w:rsid w:val="007973A1"/>
    <w:rsid w:val="00797733"/>
    <w:rsid w:val="007A1BAF"/>
    <w:rsid w:val="007A260B"/>
    <w:rsid w:val="007A4491"/>
    <w:rsid w:val="007A4C61"/>
    <w:rsid w:val="007A7FD8"/>
    <w:rsid w:val="007B0DAD"/>
    <w:rsid w:val="007B2491"/>
    <w:rsid w:val="007B2881"/>
    <w:rsid w:val="007B4802"/>
    <w:rsid w:val="007B6DB7"/>
    <w:rsid w:val="007C07A5"/>
    <w:rsid w:val="007C2C0E"/>
    <w:rsid w:val="007C640C"/>
    <w:rsid w:val="007C6444"/>
    <w:rsid w:val="007C6FA6"/>
    <w:rsid w:val="007C7D87"/>
    <w:rsid w:val="007D0A43"/>
    <w:rsid w:val="007D46A5"/>
    <w:rsid w:val="007D6012"/>
    <w:rsid w:val="007D7F1D"/>
    <w:rsid w:val="007D9224"/>
    <w:rsid w:val="007E04DB"/>
    <w:rsid w:val="007E1FAF"/>
    <w:rsid w:val="007E2BDD"/>
    <w:rsid w:val="007E381A"/>
    <w:rsid w:val="007E3905"/>
    <w:rsid w:val="007E44CA"/>
    <w:rsid w:val="007F21FE"/>
    <w:rsid w:val="007F3401"/>
    <w:rsid w:val="007F3723"/>
    <w:rsid w:val="007F3C81"/>
    <w:rsid w:val="007F4752"/>
    <w:rsid w:val="007F574F"/>
    <w:rsid w:val="007F6799"/>
    <w:rsid w:val="00800F68"/>
    <w:rsid w:val="00802122"/>
    <w:rsid w:val="0080498C"/>
    <w:rsid w:val="008063A3"/>
    <w:rsid w:val="00806BD1"/>
    <w:rsid w:val="00807D0D"/>
    <w:rsid w:val="00811F3C"/>
    <w:rsid w:val="00812A43"/>
    <w:rsid w:val="00813C4C"/>
    <w:rsid w:val="0081452F"/>
    <w:rsid w:val="00816243"/>
    <w:rsid w:val="008168F4"/>
    <w:rsid w:val="00817392"/>
    <w:rsid w:val="0082146B"/>
    <w:rsid w:val="00823335"/>
    <w:rsid w:val="00824A88"/>
    <w:rsid w:val="00824D3E"/>
    <w:rsid w:val="00824EA6"/>
    <w:rsid w:val="00825129"/>
    <w:rsid w:val="00825E50"/>
    <w:rsid w:val="0082650E"/>
    <w:rsid w:val="0082652A"/>
    <w:rsid w:val="00827D31"/>
    <w:rsid w:val="00830636"/>
    <w:rsid w:val="008313E7"/>
    <w:rsid w:val="00832BA7"/>
    <w:rsid w:val="00833F09"/>
    <w:rsid w:val="00833FFE"/>
    <w:rsid w:val="008355ED"/>
    <w:rsid w:val="008363F2"/>
    <w:rsid w:val="00836568"/>
    <w:rsid w:val="00837815"/>
    <w:rsid w:val="00837907"/>
    <w:rsid w:val="00841C4E"/>
    <w:rsid w:val="00842CD6"/>
    <w:rsid w:val="00842DEC"/>
    <w:rsid w:val="00843B9B"/>
    <w:rsid w:val="0084459C"/>
    <w:rsid w:val="00845DE3"/>
    <w:rsid w:val="008473CC"/>
    <w:rsid w:val="00847CCF"/>
    <w:rsid w:val="00850074"/>
    <w:rsid w:val="0085076E"/>
    <w:rsid w:val="00851AAE"/>
    <w:rsid w:val="00853CF0"/>
    <w:rsid w:val="00860314"/>
    <w:rsid w:val="00860B75"/>
    <w:rsid w:val="00860E6C"/>
    <w:rsid w:val="008635CC"/>
    <w:rsid w:val="00863A34"/>
    <w:rsid w:val="00864EED"/>
    <w:rsid w:val="0086563D"/>
    <w:rsid w:val="00871E97"/>
    <w:rsid w:val="00871EAB"/>
    <w:rsid w:val="00872A82"/>
    <w:rsid w:val="00873463"/>
    <w:rsid w:val="0087363E"/>
    <w:rsid w:val="00873EF9"/>
    <w:rsid w:val="00875BDD"/>
    <w:rsid w:val="00876D03"/>
    <w:rsid w:val="00880C29"/>
    <w:rsid w:val="00881B55"/>
    <w:rsid w:val="00882E7A"/>
    <w:rsid w:val="00884C2E"/>
    <w:rsid w:val="008852B7"/>
    <w:rsid w:val="00886738"/>
    <w:rsid w:val="008902C3"/>
    <w:rsid w:val="0089276F"/>
    <w:rsid w:val="008929EA"/>
    <w:rsid w:val="008932EB"/>
    <w:rsid w:val="00894508"/>
    <w:rsid w:val="008950A9"/>
    <w:rsid w:val="0089716E"/>
    <w:rsid w:val="008A188D"/>
    <w:rsid w:val="008A1AFA"/>
    <w:rsid w:val="008A1D8C"/>
    <w:rsid w:val="008A42CC"/>
    <w:rsid w:val="008A46C7"/>
    <w:rsid w:val="008A46F7"/>
    <w:rsid w:val="008A4724"/>
    <w:rsid w:val="008A473B"/>
    <w:rsid w:val="008B0592"/>
    <w:rsid w:val="008B0901"/>
    <w:rsid w:val="008B2A5F"/>
    <w:rsid w:val="008B2FE5"/>
    <w:rsid w:val="008B4C11"/>
    <w:rsid w:val="008B4DEE"/>
    <w:rsid w:val="008B7BDB"/>
    <w:rsid w:val="008C14CC"/>
    <w:rsid w:val="008C182A"/>
    <w:rsid w:val="008C2486"/>
    <w:rsid w:val="008C4D76"/>
    <w:rsid w:val="008C6BBE"/>
    <w:rsid w:val="008D060A"/>
    <w:rsid w:val="008D144D"/>
    <w:rsid w:val="008D1BAF"/>
    <w:rsid w:val="008D2E5D"/>
    <w:rsid w:val="008D3124"/>
    <w:rsid w:val="008D63FA"/>
    <w:rsid w:val="008D6C62"/>
    <w:rsid w:val="008D6E3B"/>
    <w:rsid w:val="008D6F40"/>
    <w:rsid w:val="008E0128"/>
    <w:rsid w:val="008E0C91"/>
    <w:rsid w:val="008E3A36"/>
    <w:rsid w:val="008E597B"/>
    <w:rsid w:val="008E6EA4"/>
    <w:rsid w:val="008F5EFB"/>
    <w:rsid w:val="00900A5A"/>
    <w:rsid w:val="00900E92"/>
    <w:rsid w:val="0090134D"/>
    <w:rsid w:val="0090275A"/>
    <w:rsid w:val="00904D89"/>
    <w:rsid w:val="0090592F"/>
    <w:rsid w:val="009074A0"/>
    <w:rsid w:val="00907E9B"/>
    <w:rsid w:val="00908155"/>
    <w:rsid w:val="0091097B"/>
    <w:rsid w:val="00914F62"/>
    <w:rsid w:val="0091521D"/>
    <w:rsid w:val="009171B2"/>
    <w:rsid w:val="00917398"/>
    <w:rsid w:val="0091778D"/>
    <w:rsid w:val="00920913"/>
    <w:rsid w:val="00922B12"/>
    <w:rsid w:val="0092487C"/>
    <w:rsid w:val="009249E1"/>
    <w:rsid w:val="00925A9A"/>
    <w:rsid w:val="00930FA7"/>
    <w:rsid w:val="00933332"/>
    <w:rsid w:val="009335D3"/>
    <w:rsid w:val="00934333"/>
    <w:rsid w:val="00934C3C"/>
    <w:rsid w:val="009352E0"/>
    <w:rsid w:val="00936786"/>
    <w:rsid w:val="00937549"/>
    <w:rsid w:val="0093785D"/>
    <w:rsid w:val="00937D77"/>
    <w:rsid w:val="0094240E"/>
    <w:rsid w:val="009425EF"/>
    <w:rsid w:val="00943DBA"/>
    <w:rsid w:val="009459B9"/>
    <w:rsid w:val="00945D18"/>
    <w:rsid w:val="00947680"/>
    <w:rsid w:val="00947C63"/>
    <w:rsid w:val="00951A24"/>
    <w:rsid w:val="00951D00"/>
    <w:rsid w:val="0095209A"/>
    <w:rsid w:val="00954121"/>
    <w:rsid w:val="009541C5"/>
    <w:rsid w:val="00956F5C"/>
    <w:rsid w:val="00957714"/>
    <w:rsid w:val="00960531"/>
    <w:rsid w:val="0096166A"/>
    <w:rsid w:val="00962159"/>
    <w:rsid w:val="0096385D"/>
    <w:rsid w:val="00963C5E"/>
    <w:rsid w:val="009661AB"/>
    <w:rsid w:val="0096628D"/>
    <w:rsid w:val="0096658B"/>
    <w:rsid w:val="009745E2"/>
    <w:rsid w:val="0097496B"/>
    <w:rsid w:val="00975081"/>
    <w:rsid w:val="009753A5"/>
    <w:rsid w:val="00975BA9"/>
    <w:rsid w:val="009809A5"/>
    <w:rsid w:val="00980EA3"/>
    <w:rsid w:val="009903DF"/>
    <w:rsid w:val="009935FC"/>
    <w:rsid w:val="00993D57"/>
    <w:rsid w:val="00994B53"/>
    <w:rsid w:val="0099509A"/>
    <w:rsid w:val="00996244"/>
    <w:rsid w:val="00996897"/>
    <w:rsid w:val="00997A6F"/>
    <w:rsid w:val="009A093B"/>
    <w:rsid w:val="009A1B22"/>
    <w:rsid w:val="009A4A4A"/>
    <w:rsid w:val="009A6031"/>
    <w:rsid w:val="009A6044"/>
    <w:rsid w:val="009A6E64"/>
    <w:rsid w:val="009B0CD1"/>
    <w:rsid w:val="009B2356"/>
    <w:rsid w:val="009B240E"/>
    <w:rsid w:val="009B2592"/>
    <w:rsid w:val="009B28C3"/>
    <w:rsid w:val="009B310F"/>
    <w:rsid w:val="009B39C4"/>
    <w:rsid w:val="009B414F"/>
    <w:rsid w:val="009B451C"/>
    <w:rsid w:val="009B47D3"/>
    <w:rsid w:val="009B5833"/>
    <w:rsid w:val="009C0262"/>
    <w:rsid w:val="009C0706"/>
    <w:rsid w:val="009C2251"/>
    <w:rsid w:val="009C245E"/>
    <w:rsid w:val="009C47E8"/>
    <w:rsid w:val="009C4B56"/>
    <w:rsid w:val="009D0A56"/>
    <w:rsid w:val="009D0AA8"/>
    <w:rsid w:val="009D1FA0"/>
    <w:rsid w:val="009D3478"/>
    <w:rsid w:val="009D3538"/>
    <w:rsid w:val="009D69F4"/>
    <w:rsid w:val="009E1DA0"/>
    <w:rsid w:val="009E2F96"/>
    <w:rsid w:val="009E57B6"/>
    <w:rsid w:val="009E57C8"/>
    <w:rsid w:val="009E772B"/>
    <w:rsid w:val="009F27FE"/>
    <w:rsid w:val="009F2824"/>
    <w:rsid w:val="009F3F5C"/>
    <w:rsid w:val="009F4FC5"/>
    <w:rsid w:val="009F5214"/>
    <w:rsid w:val="009F5ABA"/>
    <w:rsid w:val="009F69EF"/>
    <w:rsid w:val="009F6AD2"/>
    <w:rsid w:val="00A0117D"/>
    <w:rsid w:val="00A0209B"/>
    <w:rsid w:val="00A027B9"/>
    <w:rsid w:val="00A07235"/>
    <w:rsid w:val="00A07A76"/>
    <w:rsid w:val="00A07EFA"/>
    <w:rsid w:val="00A119D8"/>
    <w:rsid w:val="00A12A40"/>
    <w:rsid w:val="00A13430"/>
    <w:rsid w:val="00A13DD7"/>
    <w:rsid w:val="00A14264"/>
    <w:rsid w:val="00A143BD"/>
    <w:rsid w:val="00A14D51"/>
    <w:rsid w:val="00A2095C"/>
    <w:rsid w:val="00A21731"/>
    <w:rsid w:val="00A21F20"/>
    <w:rsid w:val="00A2326C"/>
    <w:rsid w:val="00A25E64"/>
    <w:rsid w:val="00A30556"/>
    <w:rsid w:val="00A31F7A"/>
    <w:rsid w:val="00A33694"/>
    <w:rsid w:val="00A33CCF"/>
    <w:rsid w:val="00A34E4C"/>
    <w:rsid w:val="00A35105"/>
    <w:rsid w:val="00A3522F"/>
    <w:rsid w:val="00A35534"/>
    <w:rsid w:val="00A35F3B"/>
    <w:rsid w:val="00A361A0"/>
    <w:rsid w:val="00A365CF"/>
    <w:rsid w:val="00A37055"/>
    <w:rsid w:val="00A377D9"/>
    <w:rsid w:val="00A37C67"/>
    <w:rsid w:val="00A4528C"/>
    <w:rsid w:val="00A4738B"/>
    <w:rsid w:val="00A47606"/>
    <w:rsid w:val="00A50C6C"/>
    <w:rsid w:val="00A51580"/>
    <w:rsid w:val="00A52507"/>
    <w:rsid w:val="00A526CD"/>
    <w:rsid w:val="00A52CD3"/>
    <w:rsid w:val="00A52D96"/>
    <w:rsid w:val="00A54ABE"/>
    <w:rsid w:val="00A57E02"/>
    <w:rsid w:val="00A605FC"/>
    <w:rsid w:val="00A6065B"/>
    <w:rsid w:val="00A62883"/>
    <w:rsid w:val="00A63112"/>
    <w:rsid w:val="00A63179"/>
    <w:rsid w:val="00A63245"/>
    <w:rsid w:val="00A65111"/>
    <w:rsid w:val="00A6591C"/>
    <w:rsid w:val="00A674C9"/>
    <w:rsid w:val="00A70234"/>
    <w:rsid w:val="00A70A06"/>
    <w:rsid w:val="00A70EF4"/>
    <w:rsid w:val="00A7278E"/>
    <w:rsid w:val="00A7370A"/>
    <w:rsid w:val="00A74A5D"/>
    <w:rsid w:val="00A7611B"/>
    <w:rsid w:val="00A80D94"/>
    <w:rsid w:val="00A82AE8"/>
    <w:rsid w:val="00A82EEE"/>
    <w:rsid w:val="00A838D8"/>
    <w:rsid w:val="00A856BB"/>
    <w:rsid w:val="00A85762"/>
    <w:rsid w:val="00A86EC7"/>
    <w:rsid w:val="00A911EA"/>
    <w:rsid w:val="00A92048"/>
    <w:rsid w:val="00A92050"/>
    <w:rsid w:val="00A9245E"/>
    <w:rsid w:val="00A92DCC"/>
    <w:rsid w:val="00A93153"/>
    <w:rsid w:val="00A93F0A"/>
    <w:rsid w:val="00A95301"/>
    <w:rsid w:val="00A96F38"/>
    <w:rsid w:val="00A97474"/>
    <w:rsid w:val="00AA519E"/>
    <w:rsid w:val="00AA7BCD"/>
    <w:rsid w:val="00AA8FA6"/>
    <w:rsid w:val="00AB24E1"/>
    <w:rsid w:val="00AB30BA"/>
    <w:rsid w:val="00AB3B58"/>
    <w:rsid w:val="00AB3D01"/>
    <w:rsid w:val="00AB495C"/>
    <w:rsid w:val="00AB5AD9"/>
    <w:rsid w:val="00AC067A"/>
    <w:rsid w:val="00AC0872"/>
    <w:rsid w:val="00AC2867"/>
    <w:rsid w:val="00AC3042"/>
    <w:rsid w:val="00AC3754"/>
    <w:rsid w:val="00AC44BC"/>
    <w:rsid w:val="00AC5258"/>
    <w:rsid w:val="00AC7701"/>
    <w:rsid w:val="00AC7C86"/>
    <w:rsid w:val="00AD1106"/>
    <w:rsid w:val="00AD2CAD"/>
    <w:rsid w:val="00AD39C1"/>
    <w:rsid w:val="00AE09D7"/>
    <w:rsid w:val="00AE1E2B"/>
    <w:rsid w:val="00AE3A32"/>
    <w:rsid w:val="00AE4984"/>
    <w:rsid w:val="00AF00A2"/>
    <w:rsid w:val="00AF10B5"/>
    <w:rsid w:val="00AF415C"/>
    <w:rsid w:val="00AF441A"/>
    <w:rsid w:val="00AF63BB"/>
    <w:rsid w:val="00AF75E2"/>
    <w:rsid w:val="00B00872"/>
    <w:rsid w:val="00B00FED"/>
    <w:rsid w:val="00B0387F"/>
    <w:rsid w:val="00B03E9D"/>
    <w:rsid w:val="00B05118"/>
    <w:rsid w:val="00B076DD"/>
    <w:rsid w:val="00B10D28"/>
    <w:rsid w:val="00B115DB"/>
    <w:rsid w:val="00B12150"/>
    <w:rsid w:val="00B1495C"/>
    <w:rsid w:val="00B17B5C"/>
    <w:rsid w:val="00B23305"/>
    <w:rsid w:val="00B23EC6"/>
    <w:rsid w:val="00B24243"/>
    <w:rsid w:val="00B25677"/>
    <w:rsid w:val="00B26048"/>
    <w:rsid w:val="00B26215"/>
    <w:rsid w:val="00B26350"/>
    <w:rsid w:val="00B267AB"/>
    <w:rsid w:val="00B30DEC"/>
    <w:rsid w:val="00B30F82"/>
    <w:rsid w:val="00B3133A"/>
    <w:rsid w:val="00B317E8"/>
    <w:rsid w:val="00B31B84"/>
    <w:rsid w:val="00B328C9"/>
    <w:rsid w:val="00B33109"/>
    <w:rsid w:val="00B352FE"/>
    <w:rsid w:val="00B3547C"/>
    <w:rsid w:val="00B403CC"/>
    <w:rsid w:val="00B4143C"/>
    <w:rsid w:val="00B414A5"/>
    <w:rsid w:val="00B42FE7"/>
    <w:rsid w:val="00B440B3"/>
    <w:rsid w:val="00B45732"/>
    <w:rsid w:val="00B518AE"/>
    <w:rsid w:val="00B5276B"/>
    <w:rsid w:val="00B57700"/>
    <w:rsid w:val="00B57848"/>
    <w:rsid w:val="00B612CF"/>
    <w:rsid w:val="00B61B19"/>
    <w:rsid w:val="00B62FBC"/>
    <w:rsid w:val="00B642B4"/>
    <w:rsid w:val="00B659FE"/>
    <w:rsid w:val="00B66285"/>
    <w:rsid w:val="00B6746A"/>
    <w:rsid w:val="00B701A6"/>
    <w:rsid w:val="00B70ABB"/>
    <w:rsid w:val="00B711EB"/>
    <w:rsid w:val="00B71281"/>
    <w:rsid w:val="00B748AA"/>
    <w:rsid w:val="00B8031E"/>
    <w:rsid w:val="00B819DE"/>
    <w:rsid w:val="00B81A55"/>
    <w:rsid w:val="00B81BB8"/>
    <w:rsid w:val="00B84B39"/>
    <w:rsid w:val="00B85831"/>
    <w:rsid w:val="00B87AF4"/>
    <w:rsid w:val="00B90910"/>
    <w:rsid w:val="00B90E43"/>
    <w:rsid w:val="00B9190F"/>
    <w:rsid w:val="00B95812"/>
    <w:rsid w:val="00B9623E"/>
    <w:rsid w:val="00B96623"/>
    <w:rsid w:val="00B96F0E"/>
    <w:rsid w:val="00BA0168"/>
    <w:rsid w:val="00BA1516"/>
    <w:rsid w:val="00BA1902"/>
    <w:rsid w:val="00BA1CC1"/>
    <w:rsid w:val="00BA399F"/>
    <w:rsid w:val="00BA4784"/>
    <w:rsid w:val="00BA563B"/>
    <w:rsid w:val="00BA6B1D"/>
    <w:rsid w:val="00BB2014"/>
    <w:rsid w:val="00BB280B"/>
    <w:rsid w:val="00BB45C9"/>
    <w:rsid w:val="00BB697F"/>
    <w:rsid w:val="00BC010F"/>
    <w:rsid w:val="00BC3F3E"/>
    <w:rsid w:val="00BD0059"/>
    <w:rsid w:val="00BD16E0"/>
    <w:rsid w:val="00BD397A"/>
    <w:rsid w:val="00BD5D9F"/>
    <w:rsid w:val="00BD6EFC"/>
    <w:rsid w:val="00BE0335"/>
    <w:rsid w:val="00BE0A31"/>
    <w:rsid w:val="00BE0FED"/>
    <w:rsid w:val="00BE35C1"/>
    <w:rsid w:val="00BE3AE7"/>
    <w:rsid w:val="00BE4DDF"/>
    <w:rsid w:val="00BE648D"/>
    <w:rsid w:val="00BF0E4F"/>
    <w:rsid w:val="00BF3D34"/>
    <w:rsid w:val="00BF5098"/>
    <w:rsid w:val="00BF5106"/>
    <w:rsid w:val="00BF54FA"/>
    <w:rsid w:val="00BF619B"/>
    <w:rsid w:val="00BF6264"/>
    <w:rsid w:val="00BF7FFC"/>
    <w:rsid w:val="00C007ED"/>
    <w:rsid w:val="00C00EEA"/>
    <w:rsid w:val="00C02221"/>
    <w:rsid w:val="00C03CD9"/>
    <w:rsid w:val="00C05CCD"/>
    <w:rsid w:val="00C07CC7"/>
    <w:rsid w:val="00C1020A"/>
    <w:rsid w:val="00C108BD"/>
    <w:rsid w:val="00C12D53"/>
    <w:rsid w:val="00C133FE"/>
    <w:rsid w:val="00C138A6"/>
    <w:rsid w:val="00C13E3D"/>
    <w:rsid w:val="00C13EF6"/>
    <w:rsid w:val="00C16585"/>
    <w:rsid w:val="00C16871"/>
    <w:rsid w:val="00C16E39"/>
    <w:rsid w:val="00C20255"/>
    <w:rsid w:val="00C2108B"/>
    <w:rsid w:val="00C21128"/>
    <w:rsid w:val="00C2186B"/>
    <w:rsid w:val="00C22D23"/>
    <w:rsid w:val="00C25202"/>
    <w:rsid w:val="00C25579"/>
    <w:rsid w:val="00C27E26"/>
    <w:rsid w:val="00C31075"/>
    <w:rsid w:val="00C318B5"/>
    <w:rsid w:val="00C33C8B"/>
    <w:rsid w:val="00C34EAE"/>
    <w:rsid w:val="00C35EE9"/>
    <w:rsid w:val="00C36797"/>
    <w:rsid w:val="00C37155"/>
    <w:rsid w:val="00C3729B"/>
    <w:rsid w:val="00C3746B"/>
    <w:rsid w:val="00C3765E"/>
    <w:rsid w:val="00C403B1"/>
    <w:rsid w:val="00C40A68"/>
    <w:rsid w:val="00C41E26"/>
    <w:rsid w:val="00C42624"/>
    <w:rsid w:val="00C432DF"/>
    <w:rsid w:val="00C458A9"/>
    <w:rsid w:val="00C45950"/>
    <w:rsid w:val="00C4665F"/>
    <w:rsid w:val="00C501F5"/>
    <w:rsid w:val="00C53F58"/>
    <w:rsid w:val="00C547F1"/>
    <w:rsid w:val="00C54A15"/>
    <w:rsid w:val="00C54B69"/>
    <w:rsid w:val="00C54CB0"/>
    <w:rsid w:val="00C611B5"/>
    <w:rsid w:val="00C61B93"/>
    <w:rsid w:val="00C66F52"/>
    <w:rsid w:val="00C67D67"/>
    <w:rsid w:val="00C70D42"/>
    <w:rsid w:val="00C74B4C"/>
    <w:rsid w:val="00C74EB8"/>
    <w:rsid w:val="00C75704"/>
    <w:rsid w:val="00C807A5"/>
    <w:rsid w:val="00C81F13"/>
    <w:rsid w:val="00C82AEF"/>
    <w:rsid w:val="00C83784"/>
    <w:rsid w:val="00C843FF"/>
    <w:rsid w:val="00C85CE2"/>
    <w:rsid w:val="00C8725A"/>
    <w:rsid w:val="00C92939"/>
    <w:rsid w:val="00C94336"/>
    <w:rsid w:val="00C94597"/>
    <w:rsid w:val="00C946A2"/>
    <w:rsid w:val="00C961E4"/>
    <w:rsid w:val="00C968B1"/>
    <w:rsid w:val="00C97008"/>
    <w:rsid w:val="00CA1802"/>
    <w:rsid w:val="00CA1D93"/>
    <w:rsid w:val="00CA292E"/>
    <w:rsid w:val="00CA3F81"/>
    <w:rsid w:val="00CA4615"/>
    <w:rsid w:val="00CA567D"/>
    <w:rsid w:val="00CA5A0E"/>
    <w:rsid w:val="00CA61EE"/>
    <w:rsid w:val="00CA6C38"/>
    <w:rsid w:val="00CA7E61"/>
    <w:rsid w:val="00CA7F25"/>
    <w:rsid w:val="00CB33EA"/>
    <w:rsid w:val="00CB3EEC"/>
    <w:rsid w:val="00CB4236"/>
    <w:rsid w:val="00CB5633"/>
    <w:rsid w:val="00CC3FEA"/>
    <w:rsid w:val="00CC5073"/>
    <w:rsid w:val="00CC59AE"/>
    <w:rsid w:val="00CC6F38"/>
    <w:rsid w:val="00CC7FC6"/>
    <w:rsid w:val="00CD01B7"/>
    <w:rsid w:val="00CD184B"/>
    <w:rsid w:val="00CD35AD"/>
    <w:rsid w:val="00CD57AE"/>
    <w:rsid w:val="00CD75D7"/>
    <w:rsid w:val="00CE1835"/>
    <w:rsid w:val="00CE1F97"/>
    <w:rsid w:val="00CE5B00"/>
    <w:rsid w:val="00CE6069"/>
    <w:rsid w:val="00CE6D75"/>
    <w:rsid w:val="00CE7349"/>
    <w:rsid w:val="00CF0E90"/>
    <w:rsid w:val="00CF0EA6"/>
    <w:rsid w:val="00CF200C"/>
    <w:rsid w:val="00CF367A"/>
    <w:rsid w:val="00CF3D9B"/>
    <w:rsid w:val="00CF52C2"/>
    <w:rsid w:val="00CF791A"/>
    <w:rsid w:val="00D000ED"/>
    <w:rsid w:val="00D00AC8"/>
    <w:rsid w:val="00D02DCE"/>
    <w:rsid w:val="00D02E67"/>
    <w:rsid w:val="00D04F0F"/>
    <w:rsid w:val="00D05047"/>
    <w:rsid w:val="00D06073"/>
    <w:rsid w:val="00D064B3"/>
    <w:rsid w:val="00D112B3"/>
    <w:rsid w:val="00D115D7"/>
    <w:rsid w:val="00D1176D"/>
    <w:rsid w:val="00D122D0"/>
    <w:rsid w:val="00D140FB"/>
    <w:rsid w:val="00D1696A"/>
    <w:rsid w:val="00D17506"/>
    <w:rsid w:val="00D20350"/>
    <w:rsid w:val="00D20FA0"/>
    <w:rsid w:val="00D21309"/>
    <w:rsid w:val="00D24A55"/>
    <w:rsid w:val="00D2526D"/>
    <w:rsid w:val="00D253F7"/>
    <w:rsid w:val="00D27157"/>
    <w:rsid w:val="00D27875"/>
    <w:rsid w:val="00D27989"/>
    <w:rsid w:val="00D279CB"/>
    <w:rsid w:val="00D27D73"/>
    <w:rsid w:val="00D30C01"/>
    <w:rsid w:val="00D3314A"/>
    <w:rsid w:val="00D33B3C"/>
    <w:rsid w:val="00D35CB0"/>
    <w:rsid w:val="00D363E6"/>
    <w:rsid w:val="00D36588"/>
    <w:rsid w:val="00D37737"/>
    <w:rsid w:val="00D415BA"/>
    <w:rsid w:val="00D43A11"/>
    <w:rsid w:val="00D45637"/>
    <w:rsid w:val="00D51D7B"/>
    <w:rsid w:val="00D5310C"/>
    <w:rsid w:val="00D5392F"/>
    <w:rsid w:val="00D53D37"/>
    <w:rsid w:val="00D54ABD"/>
    <w:rsid w:val="00D55852"/>
    <w:rsid w:val="00D5FE11"/>
    <w:rsid w:val="00D62B9D"/>
    <w:rsid w:val="00D62C46"/>
    <w:rsid w:val="00D631A7"/>
    <w:rsid w:val="00D66773"/>
    <w:rsid w:val="00D67D45"/>
    <w:rsid w:val="00D713F3"/>
    <w:rsid w:val="00D7238F"/>
    <w:rsid w:val="00D72839"/>
    <w:rsid w:val="00D7335B"/>
    <w:rsid w:val="00D73E6D"/>
    <w:rsid w:val="00D749DC"/>
    <w:rsid w:val="00D76656"/>
    <w:rsid w:val="00D77830"/>
    <w:rsid w:val="00D812A1"/>
    <w:rsid w:val="00D826F2"/>
    <w:rsid w:val="00D83F10"/>
    <w:rsid w:val="00D84655"/>
    <w:rsid w:val="00D87734"/>
    <w:rsid w:val="00D87738"/>
    <w:rsid w:val="00D903BC"/>
    <w:rsid w:val="00D90536"/>
    <w:rsid w:val="00D90B4E"/>
    <w:rsid w:val="00D91A7E"/>
    <w:rsid w:val="00D91C00"/>
    <w:rsid w:val="00D9269B"/>
    <w:rsid w:val="00D933D7"/>
    <w:rsid w:val="00D941F4"/>
    <w:rsid w:val="00D97220"/>
    <w:rsid w:val="00D97465"/>
    <w:rsid w:val="00DA1C27"/>
    <w:rsid w:val="00DA1D49"/>
    <w:rsid w:val="00DA5E37"/>
    <w:rsid w:val="00DA6516"/>
    <w:rsid w:val="00DA7AD0"/>
    <w:rsid w:val="00DB0A30"/>
    <w:rsid w:val="00DB1065"/>
    <w:rsid w:val="00DB772E"/>
    <w:rsid w:val="00DB7B26"/>
    <w:rsid w:val="00DC0A77"/>
    <w:rsid w:val="00DC6CD9"/>
    <w:rsid w:val="00DC74C6"/>
    <w:rsid w:val="00DC7B93"/>
    <w:rsid w:val="00DD00F6"/>
    <w:rsid w:val="00DD0679"/>
    <w:rsid w:val="00DD1437"/>
    <w:rsid w:val="00DD33F6"/>
    <w:rsid w:val="00DD45DE"/>
    <w:rsid w:val="00DD4601"/>
    <w:rsid w:val="00DD4FF8"/>
    <w:rsid w:val="00DD5F9F"/>
    <w:rsid w:val="00DD6EE3"/>
    <w:rsid w:val="00DD7FA9"/>
    <w:rsid w:val="00DE0B5E"/>
    <w:rsid w:val="00DE1CBD"/>
    <w:rsid w:val="00DE2967"/>
    <w:rsid w:val="00DE3CBF"/>
    <w:rsid w:val="00DE54CD"/>
    <w:rsid w:val="00DE6B32"/>
    <w:rsid w:val="00DF0AAC"/>
    <w:rsid w:val="00DF0D68"/>
    <w:rsid w:val="00DF189B"/>
    <w:rsid w:val="00DF4BBB"/>
    <w:rsid w:val="00DF4CE3"/>
    <w:rsid w:val="00DF652D"/>
    <w:rsid w:val="00DF733E"/>
    <w:rsid w:val="00E00D67"/>
    <w:rsid w:val="00E025B6"/>
    <w:rsid w:val="00E02D79"/>
    <w:rsid w:val="00E045EC"/>
    <w:rsid w:val="00E055DF"/>
    <w:rsid w:val="00E058CF"/>
    <w:rsid w:val="00E127FB"/>
    <w:rsid w:val="00E14570"/>
    <w:rsid w:val="00E14A3A"/>
    <w:rsid w:val="00E159CF"/>
    <w:rsid w:val="00E1698D"/>
    <w:rsid w:val="00E20E6D"/>
    <w:rsid w:val="00E20EB9"/>
    <w:rsid w:val="00E221E5"/>
    <w:rsid w:val="00E257BE"/>
    <w:rsid w:val="00E271A9"/>
    <w:rsid w:val="00E272F0"/>
    <w:rsid w:val="00E27FC7"/>
    <w:rsid w:val="00E33BB4"/>
    <w:rsid w:val="00E3693D"/>
    <w:rsid w:val="00E36D24"/>
    <w:rsid w:val="00E36E64"/>
    <w:rsid w:val="00E37AF2"/>
    <w:rsid w:val="00E406F2"/>
    <w:rsid w:val="00E424E1"/>
    <w:rsid w:val="00E426FD"/>
    <w:rsid w:val="00E43E8C"/>
    <w:rsid w:val="00E44D47"/>
    <w:rsid w:val="00E46463"/>
    <w:rsid w:val="00E46EBF"/>
    <w:rsid w:val="00E505AA"/>
    <w:rsid w:val="00E50DA0"/>
    <w:rsid w:val="00E53A85"/>
    <w:rsid w:val="00E554F3"/>
    <w:rsid w:val="00E5579A"/>
    <w:rsid w:val="00E557C9"/>
    <w:rsid w:val="00E56F6F"/>
    <w:rsid w:val="00E60C15"/>
    <w:rsid w:val="00E6103B"/>
    <w:rsid w:val="00E6104B"/>
    <w:rsid w:val="00E61C3F"/>
    <w:rsid w:val="00E62D74"/>
    <w:rsid w:val="00E6538D"/>
    <w:rsid w:val="00E67A94"/>
    <w:rsid w:val="00E67FAB"/>
    <w:rsid w:val="00E70038"/>
    <w:rsid w:val="00E700A0"/>
    <w:rsid w:val="00E720B7"/>
    <w:rsid w:val="00E742BD"/>
    <w:rsid w:val="00E747FD"/>
    <w:rsid w:val="00E76F84"/>
    <w:rsid w:val="00E7708E"/>
    <w:rsid w:val="00E770A4"/>
    <w:rsid w:val="00E77602"/>
    <w:rsid w:val="00E8049A"/>
    <w:rsid w:val="00E816D2"/>
    <w:rsid w:val="00E81AA3"/>
    <w:rsid w:val="00E8201A"/>
    <w:rsid w:val="00E8205F"/>
    <w:rsid w:val="00E82260"/>
    <w:rsid w:val="00E83E75"/>
    <w:rsid w:val="00E85B44"/>
    <w:rsid w:val="00E86907"/>
    <w:rsid w:val="00E86FE0"/>
    <w:rsid w:val="00E87D94"/>
    <w:rsid w:val="00E922DE"/>
    <w:rsid w:val="00E92C12"/>
    <w:rsid w:val="00E933B6"/>
    <w:rsid w:val="00E9418A"/>
    <w:rsid w:val="00E9463A"/>
    <w:rsid w:val="00E9479C"/>
    <w:rsid w:val="00E958F2"/>
    <w:rsid w:val="00E97080"/>
    <w:rsid w:val="00EA0781"/>
    <w:rsid w:val="00EA1915"/>
    <w:rsid w:val="00EA1FF6"/>
    <w:rsid w:val="00EA2441"/>
    <w:rsid w:val="00EA2A80"/>
    <w:rsid w:val="00EA2D28"/>
    <w:rsid w:val="00EA3858"/>
    <w:rsid w:val="00EA423B"/>
    <w:rsid w:val="00EA44F5"/>
    <w:rsid w:val="00EA5717"/>
    <w:rsid w:val="00EA6405"/>
    <w:rsid w:val="00EA7433"/>
    <w:rsid w:val="00EB1089"/>
    <w:rsid w:val="00EB1510"/>
    <w:rsid w:val="00EB1A5E"/>
    <w:rsid w:val="00EB1FDA"/>
    <w:rsid w:val="00EB3F97"/>
    <w:rsid w:val="00EB4186"/>
    <w:rsid w:val="00EB6129"/>
    <w:rsid w:val="00EB6368"/>
    <w:rsid w:val="00EB6FF0"/>
    <w:rsid w:val="00EB7396"/>
    <w:rsid w:val="00EC0538"/>
    <w:rsid w:val="00EC1317"/>
    <w:rsid w:val="00EC3B1D"/>
    <w:rsid w:val="00EC3EEF"/>
    <w:rsid w:val="00ED05E4"/>
    <w:rsid w:val="00ED3B68"/>
    <w:rsid w:val="00ED523A"/>
    <w:rsid w:val="00ED540E"/>
    <w:rsid w:val="00ED568C"/>
    <w:rsid w:val="00ED7DDA"/>
    <w:rsid w:val="00EE134E"/>
    <w:rsid w:val="00EE6A67"/>
    <w:rsid w:val="00EF04CC"/>
    <w:rsid w:val="00EF3527"/>
    <w:rsid w:val="00EF41D5"/>
    <w:rsid w:val="00EF6487"/>
    <w:rsid w:val="00EF6E12"/>
    <w:rsid w:val="00F012B6"/>
    <w:rsid w:val="00F019EA"/>
    <w:rsid w:val="00F02389"/>
    <w:rsid w:val="00F07D6C"/>
    <w:rsid w:val="00F10B70"/>
    <w:rsid w:val="00F10E4B"/>
    <w:rsid w:val="00F11AE9"/>
    <w:rsid w:val="00F12CA2"/>
    <w:rsid w:val="00F12DB9"/>
    <w:rsid w:val="00F13D20"/>
    <w:rsid w:val="00F14D6C"/>
    <w:rsid w:val="00F15047"/>
    <w:rsid w:val="00F1529A"/>
    <w:rsid w:val="00F15862"/>
    <w:rsid w:val="00F22BE0"/>
    <w:rsid w:val="00F2559C"/>
    <w:rsid w:val="00F26D50"/>
    <w:rsid w:val="00F271BF"/>
    <w:rsid w:val="00F27835"/>
    <w:rsid w:val="00F32BC9"/>
    <w:rsid w:val="00F33458"/>
    <w:rsid w:val="00F427F1"/>
    <w:rsid w:val="00F43294"/>
    <w:rsid w:val="00F43E9C"/>
    <w:rsid w:val="00F44A06"/>
    <w:rsid w:val="00F45DBA"/>
    <w:rsid w:val="00F46B2D"/>
    <w:rsid w:val="00F51F4C"/>
    <w:rsid w:val="00F54507"/>
    <w:rsid w:val="00F54EF8"/>
    <w:rsid w:val="00F559FC"/>
    <w:rsid w:val="00F6068E"/>
    <w:rsid w:val="00F60AF5"/>
    <w:rsid w:val="00F61A2A"/>
    <w:rsid w:val="00F6220C"/>
    <w:rsid w:val="00F62FFB"/>
    <w:rsid w:val="00F63DFA"/>
    <w:rsid w:val="00F65371"/>
    <w:rsid w:val="00F65809"/>
    <w:rsid w:val="00F65816"/>
    <w:rsid w:val="00F668C9"/>
    <w:rsid w:val="00F708AB"/>
    <w:rsid w:val="00F709C7"/>
    <w:rsid w:val="00F70ECA"/>
    <w:rsid w:val="00F70F09"/>
    <w:rsid w:val="00F71144"/>
    <w:rsid w:val="00F72F1D"/>
    <w:rsid w:val="00F74D49"/>
    <w:rsid w:val="00F776AE"/>
    <w:rsid w:val="00F81FC4"/>
    <w:rsid w:val="00F8284E"/>
    <w:rsid w:val="00F844DB"/>
    <w:rsid w:val="00F84527"/>
    <w:rsid w:val="00F85883"/>
    <w:rsid w:val="00F85BC3"/>
    <w:rsid w:val="00F8A412"/>
    <w:rsid w:val="00F923AB"/>
    <w:rsid w:val="00F937AB"/>
    <w:rsid w:val="00F93B41"/>
    <w:rsid w:val="00F93CD9"/>
    <w:rsid w:val="00F97AE7"/>
    <w:rsid w:val="00F9B016"/>
    <w:rsid w:val="00FA1860"/>
    <w:rsid w:val="00FA2756"/>
    <w:rsid w:val="00FA2DF0"/>
    <w:rsid w:val="00FA2F99"/>
    <w:rsid w:val="00FA3324"/>
    <w:rsid w:val="00FA3B09"/>
    <w:rsid w:val="00FA4198"/>
    <w:rsid w:val="00FA72E5"/>
    <w:rsid w:val="00FA74E1"/>
    <w:rsid w:val="00FA7838"/>
    <w:rsid w:val="00FA7E50"/>
    <w:rsid w:val="00FB022D"/>
    <w:rsid w:val="00FB0E5E"/>
    <w:rsid w:val="00FB2574"/>
    <w:rsid w:val="00FB492D"/>
    <w:rsid w:val="00FC2D0A"/>
    <w:rsid w:val="00FC3984"/>
    <w:rsid w:val="00FC4045"/>
    <w:rsid w:val="00FC42D6"/>
    <w:rsid w:val="00FC519F"/>
    <w:rsid w:val="00FC7157"/>
    <w:rsid w:val="00FD0149"/>
    <w:rsid w:val="00FD294C"/>
    <w:rsid w:val="00FD3544"/>
    <w:rsid w:val="00FD3DDD"/>
    <w:rsid w:val="00FD4600"/>
    <w:rsid w:val="00FD4FC0"/>
    <w:rsid w:val="00FE0607"/>
    <w:rsid w:val="00FE30B3"/>
    <w:rsid w:val="00FE334E"/>
    <w:rsid w:val="00FE5606"/>
    <w:rsid w:val="00FE58F7"/>
    <w:rsid w:val="00FE5E13"/>
    <w:rsid w:val="00FE7BAC"/>
    <w:rsid w:val="00FF7E75"/>
    <w:rsid w:val="0130593C"/>
    <w:rsid w:val="0148BDCB"/>
    <w:rsid w:val="016195FE"/>
    <w:rsid w:val="018B3F4C"/>
    <w:rsid w:val="019C5D7D"/>
    <w:rsid w:val="01A170CF"/>
    <w:rsid w:val="022503E1"/>
    <w:rsid w:val="0258A883"/>
    <w:rsid w:val="02F2E456"/>
    <w:rsid w:val="03272A4D"/>
    <w:rsid w:val="037B0601"/>
    <w:rsid w:val="038DF0A8"/>
    <w:rsid w:val="03FACBCA"/>
    <w:rsid w:val="0440D770"/>
    <w:rsid w:val="046D6DB8"/>
    <w:rsid w:val="047DC85C"/>
    <w:rsid w:val="04D976C6"/>
    <w:rsid w:val="04DD2BC8"/>
    <w:rsid w:val="0508B259"/>
    <w:rsid w:val="05313847"/>
    <w:rsid w:val="053D8B53"/>
    <w:rsid w:val="05472D5D"/>
    <w:rsid w:val="055E2AAB"/>
    <w:rsid w:val="0572590A"/>
    <w:rsid w:val="057CF49E"/>
    <w:rsid w:val="05927E19"/>
    <w:rsid w:val="0599511F"/>
    <w:rsid w:val="0599D8B6"/>
    <w:rsid w:val="05BEA19A"/>
    <w:rsid w:val="05C2CC43"/>
    <w:rsid w:val="05C8B8C2"/>
    <w:rsid w:val="05CC8057"/>
    <w:rsid w:val="05E8F2C0"/>
    <w:rsid w:val="05F34715"/>
    <w:rsid w:val="06161780"/>
    <w:rsid w:val="065DA367"/>
    <w:rsid w:val="06651B5F"/>
    <w:rsid w:val="0682EFF1"/>
    <w:rsid w:val="07011570"/>
    <w:rsid w:val="070DF328"/>
    <w:rsid w:val="072C41F2"/>
    <w:rsid w:val="0768336C"/>
    <w:rsid w:val="077A5764"/>
    <w:rsid w:val="079925B9"/>
    <w:rsid w:val="07A7ADF1"/>
    <w:rsid w:val="07E46FB3"/>
    <w:rsid w:val="080E48EB"/>
    <w:rsid w:val="0814EDF2"/>
    <w:rsid w:val="08182689"/>
    <w:rsid w:val="0821CDE9"/>
    <w:rsid w:val="084D6AA5"/>
    <w:rsid w:val="0859FAAA"/>
    <w:rsid w:val="085C9B30"/>
    <w:rsid w:val="085CFFC0"/>
    <w:rsid w:val="085DF7F8"/>
    <w:rsid w:val="0869BA30"/>
    <w:rsid w:val="088A5298"/>
    <w:rsid w:val="08D64D43"/>
    <w:rsid w:val="091610F0"/>
    <w:rsid w:val="0917FB56"/>
    <w:rsid w:val="09324FA6"/>
    <w:rsid w:val="097E37DD"/>
    <w:rsid w:val="09841A3F"/>
    <w:rsid w:val="09A53FD6"/>
    <w:rsid w:val="09C4A4E1"/>
    <w:rsid w:val="09DA8FE5"/>
    <w:rsid w:val="09F7B356"/>
    <w:rsid w:val="0A086CE0"/>
    <w:rsid w:val="0A0F5E8B"/>
    <w:rsid w:val="0A21F9E4"/>
    <w:rsid w:val="0A305D04"/>
    <w:rsid w:val="0AC3665D"/>
    <w:rsid w:val="0B09D43D"/>
    <w:rsid w:val="0B3233A0"/>
    <w:rsid w:val="0B335D89"/>
    <w:rsid w:val="0B35DC53"/>
    <w:rsid w:val="0B6915EB"/>
    <w:rsid w:val="0B821FAF"/>
    <w:rsid w:val="0C37DE12"/>
    <w:rsid w:val="0C663D55"/>
    <w:rsid w:val="0C68053F"/>
    <w:rsid w:val="0C79A3EB"/>
    <w:rsid w:val="0C8842C9"/>
    <w:rsid w:val="0C8B9727"/>
    <w:rsid w:val="0D231A21"/>
    <w:rsid w:val="0D26B36F"/>
    <w:rsid w:val="0D2C01AC"/>
    <w:rsid w:val="0D5DCB13"/>
    <w:rsid w:val="0D6F6904"/>
    <w:rsid w:val="0D89CCEB"/>
    <w:rsid w:val="0DA456E9"/>
    <w:rsid w:val="0DC8C01B"/>
    <w:rsid w:val="0E509FBF"/>
    <w:rsid w:val="0E6F83BD"/>
    <w:rsid w:val="0E75FA65"/>
    <w:rsid w:val="0E78B159"/>
    <w:rsid w:val="0EA2E4B9"/>
    <w:rsid w:val="0EEC5DBE"/>
    <w:rsid w:val="0F0753BA"/>
    <w:rsid w:val="0F1E453C"/>
    <w:rsid w:val="0F2179FF"/>
    <w:rsid w:val="0F2847A6"/>
    <w:rsid w:val="0F3E25DE"/>
    <w:rsid w:val="0F41D8E4"/>
    <w:rsid w:val="0F5E43FD"/>
    <w:rsid w:val="0F5F29F1"/>
    <w:rsid w:val="0F667308"/>
    <w:rsid w:val="0F6B1645"/>
    <w:rsid w:val="0F8EF780"/>
    <w:rsid w:val="0FC87759"/>
    <w:rsid w:val="0FFADB5A"/>
    <w:rsid w:val="0FFF7A69"/>
    <w:rsid w:val="100E8D6D"/>
    <w:rsid w:val="1018895C"/>
    <w:rsid w:val="10201140"/>
    <w:rsid w:val="102A5018"/>
    <w:rsid w:val="10351555"/>
    <w:rsid w:val="1037F267"/>
    <w:rsid w:val="105A6FD4"/>
    <w:rsid w:val="106E1938"/>
    <w:rsid w:val="10803399"/>
    <w:rsid w:val="109286FE"/>
    <w:rsid w:val="10A1C3A8"/>
    <w:rsid w:val="10A5868F"/>
    <w:rsid w:val="10B9FBDB"/>
    <w:rsid w:val="10BCDDEC"/>
    <w:rsid w:val="10BD4A60"/>
    <w:rsid w:val="10C35E08"/>
    <w:rsid w:val="10CD3087"/>
    <w:rsid w:val="10D49E6A"/>
    <w:rsid w:val="11092FB9"/>
    <w:rsid w:val="11387F88"/>
    <w:rsid w:val="11573BD2"/>
    <w:rsid w:val="11B3979A"/>
    <w:rsid w:val="11C0B87F"/>
    <w:rsid w:val="11C1B965"/>
    <w:rsid w:val="11DD93B8"/>
    <w:rsid w:val="11E064ED"/>
    <w:rsid w:val="11E4F7AD"/>
    <w:rsid w:val="11EB9617"/>
    <w:rsid w:val="1223BD7D"/>
    <w:rsid w:val="12293B62"/>
    <w:rsid w:val="126B3ECC"/>
    <w:rsid w:val="127F32AB"/>
    <w:rsid w:val="129944AB"/>
    <w:rsid w:val="129E7173"/>
    <w:rsid w:val="12F093E1"/>
    <w:rsid w:val="1306C6E6"/>
    <w:rsid w:val="1321D2F4"/>
    <w:rsid w:val="1326C309"/>
    <w:rsid w:val="13291701"/>
    <w:rsid w:val="1331B281"/>
    <w:rsid w:val="1333FB19"/>
    <w:rsid w:val="1334FCE0"/>
    <w:rsid w:val="136444D2"/>
    <w:rsid w:val="13651808"/>
    <w:rsid w:val="138AEC15"/>
    <w:rsid w:val="13975532"/>
    <w:rsid w:val="13C99DDD"/>
    <w:rsid w:val="140C0CB1"/>
    <w:rsid w:val="141C4B69"/>
    <w:rsid w:val="1439DF14"/>
    <w:rsid w:val="145C1854"/>
    <w:rsid w:val="1461D9D0"/>
    <w:rsid w:val="147CF555"/>
    <w:rsid w:val="1483399D"/>
    <w:rsid w:val="14A0E82F"/>
    <w:rsid w:val="14C4BE79"/>
    <w:rsid w:val="14D304F3"/>
    <w:rsid w:val="14E8169D"/>
    <w:rsid w:val="150C2878"/>
    <w:rsid w:val="154512ED"/>
    <w:rsid w:val="155A7CC6"/>
    <w:rsid w:val="15991798"/>
    <w:rsid w:val="15AAD26A"/>
    <w:rsid w:val="15AC6798"/>
    <w:rsid w:val="15C324EB"/>
    <w:rsid w:val="160468C7"/>
    <w:rsid w:val="1608FC4E"/>
    <w:rsid w:val="1654E588"/>
    <w:rsid w:val="167E993A"/>
    <w:rsid w:val="1695A567"/>
    <w:rsid w:val="16AB7DCD"/>
    <w:rsid w:val="16CB2D3D"/>
    <w:rsid w:val="16D5506A"/>
    <w:rsid w:val="1711B095"/>
    <w:rsid w:val="171D8B2D"/>
    <w:rsid w:val="1720A30D"/>
    <w:rsid w:val="1729274D"/>
    <w:rsid w:val="172C60D9"/>
    <w:rsid w:val="1737D634"/>
    <w:rsid w:val="17385C51"/>
    <w:rsid w:val="173A77D4"/>
    <w:rsid w:val="17474AA3"/>
    <w:rsid w:val="17554259"/>
    <w:rsid w:val="17571873"/>
    <w:rsid w:val="1774B07C"/>
    <w:rsid w:val="17A64B02"/>
    <w:rsid w:val="17E0CF61"/>
    <w:rsid w:val="17E42882"/>
    <w:rsid w:val="181425D7"/>
    <w:rsid w:val="18221242"/>
    <w:rsid w:val="183EE31A"/>
    <w:rsid w:val="18762B07"/>
    <w:rsid w:val="1884A357"/>
    <w:rsid w:val="1892B700"/>
    <w:rsid w:val="18D915B6"/>
    <w:rsid w:val="18DFC7EC"/>
    <w:rsid w:val="18E223B5"/>
    <w:rsid w:val="18F03ED4"/>
    <w:rsid w:val="1933AD09"/>
    <w:rsid w:val="194074D7"/>
    <w:rsid w:val="19536B7E"/>
    <w:rsid w:val="19746BD6"/>
    <w:rsid w:val="1987533D"/>
    <w:rsid w:val="19CA9586"/>
    <w:rsid w:val="19D310F3"/>
    <w:rsid w:val="19E6FFD0"/>
    <w:rsid w:val="19F3D664"/>
    <w:rsid w:val="19F69193"/>
    <w:rsid w:val="1A09CAD6"/>
    <w:rsid w:val="1A382206"/>
    <w:rsid w:val="1A391D4F"/>
    <w:rsid w:val="1A66632F"/>
    <w:rsid w:val="1A6AF9E7"/>
    <w:rsid w:val="1AB98839"/>
    <w:rsid w:val="1ABA18B0"/>
    <w:rsid w:val="1ADAA709"/>
    <w:rsid w:val="1B30F575"/>
    <w:rsid w:val="1B34C221"/>
    <w:rsid w:val="1B46D903"/>
    <w:rsid w:val="1BBBC80E"/>
    <w:rsid w:val="1BF2B0AA"/>
    <w:rsid w:val="1C0A4772"/>
    <w:rsid w:val="1C1E590C"/>
    <w:rsid w:val="1C3AFF39"/>
    <w:rsid w:val="1C484262"/>
    <w:rsid w:val="1C4F09B8"/>
    <w:rsid w:val="1C546128"/>
    <w:rsid w:val="1CA72D41"/>
    <w:rsid w:val="1CBE2A8F"/>
    <w:rsid w:val="1CE18A67"/>
    <w:rsid w:val="1CEC1456"/>
    <w:rsid w:val="1CF8A442"/>
    <w:rsid w:val="1D2B6A8C"/>
    <w:rsid w:val="1D8017B3"/>
    <w:rsid w:val="1D950238"/>
    <w:rsid w:val="1DA98B7B"/>
    <w:rsid w:val="1DEF61E3"/>
    <w:rsid w:val="1E6F21FC"/>
    <w:rsid w:val="1E76332B"/>
    <w:rsid w:val="1E9046BE"/>
    <w:rsid w:val="1EA1B466"/>
    <w:rsid w:val="1EDC0F52"/>
    <w:rsid w:val="1F0604F3"/>
    <w:rsid w:val="1F4C30C7"/>
    <w:rsid w:val="1F4F56D0"/>
    <w:rsid w:val="1F5A629A"/>
    <w:rsid w:val="1F6CCC3A"/>
    <w:rsid w:val="1F92BA28"/>
    <w:rsid w:val="1FB60E9C"/>
    <w:rsid w:val="1FB8B113"/>
    <w:rsid w:val="2002B7E3"/>
    <w:rsid w:val="201EA86A"/>
    <w:rsid w:val="20336678"/>
    <w:rsid w:val="20459902"/>
    <w:rsid w:val="2046F57C"/>
    <w:rsid w:val="208CF2B5"/>
    <w:rsid w:val="209C180B"/>
    <w:rsid w:val="20A695E4"/>
    <w:rsid w:val="20CC5168"/>
    <w:rsid w:val="20E55EB2"/>
    <w:rsid w:val="20E7B802"/>
    <w:rsid w:val="211A8293"/>
    <w:rsid w:val="211F398F"/>
    <w:rsid w:val="21383B70"/>
    <w:rsid w:val="2144A23C"/>
    <w:rsid w:val="2149593B"/>
    <w:rsid w:val="214EE2BD"/>
    <w:rsid w:val="215D893F"/>
    <w:rsid w:val="2176B3AD"/>
    <w:rsid w:val="21876C4C"/>
    <w:rsid w:val="2194832F"/>
    <w:rsid w:val="21A81271"/>
    <w:rsid w:val="21C03E9E"/>
    <w:rsid w:val="21D2F49A"/>
    <w:rsid w:val="21DE16B2"/>
    <w:rsid w:val="21F9755E"/>
    <w:rsid w:val="2206DDF1"/>
    <w:rsid w:val="220A1389"/>
    <w:rsid w:val="220BBA30"/>
    <w:rsid w:val="221C592F"/>
    <w:rsid w:val="2250CA15"/>
    <w:rsid w:val="2261C82B"/>
    <w:rsid w:val="2276D580"/>
    <w:rsid w:val="22B09A2F"/>
    <w:rsid w:val="22DA51A1"/>
    <w:rsid w:val="22E2FE67"/>
    <w:rsid w:val="236A7DCF"/>
    <w:rsid w:val="236D3E54"/>
    <w:rsid w:val="23746CE1"/>
    <w:rsid w:val="237A0CE2"/>
    <w:rsid w:val="23ABAC0D"/>
    <w:rsid w:val="23B4A853"/>
    <w:rsid w:val="23C67E23"/>
    <w:rsid w:val="23DAB569"/>
    <w:rsid w:val="23F70407"/>
    <w:rsid w:val="240346A2"/>
    <w:rsid w:val="241D2A52"/>
    <w:rsid w:val="2426D27B"/>
    <w:rsid w:val="24680BE5"/>
    <w:rsid w:val="248BB7D4"/>
    <w:rsid w:val="249B97A0"/>
    <w:rsid w:val="24D44F91"/>
    <w:rsid w:val="24D6F0CC"/>
    <w:rsid w:val="24E30C37"/>
    <w:rsid w:val="250514DA"/>
    <w:rsid w:val="254A0B97"/>
    <w:rsid w:val="2568E7DB"/>
    <w:rsid w:val="257DD041"/>
    <w:rsid w:val="2587C669"/>
    <w:rsid w:val="259C20DB"/>
    <w:rsid w:val="25ACCB48"/>
    <w:rsid w:val="25BDA296"/>
    <w:rsid w:val="25D59429"/>
    <w:rsid w:val="2621B415"/>
    <w:rsid w:val="265836D4"/>
    <w:rsid w:val="266DB3CF"/>
    <w:rsid w:val="267685AE"/>
    <w:rsid w:val="267A472B"/>
    <w:rsid w:val="2686F35E"/>
    <w:rsid w:val="26A9EABE"/>
    <w:rsid w:val="26B80F5F"/>
    <w:rsid w:val="26D1D105"/>
    <w:rsid w:val="2712EDA3"/>
    <w:rsid w:val="27454DE8"/>
    <w:rsid w:val="274C445A"/>
    <w:rsid w:val="27735BEB"/>
    <w:rsid w:val="27886B10"/>
    <w:rsid w:val="282D738A"/>
    <w:rsid w:val="2862DD91"/>
    <w:rsid w:val="288122B9"/>
    <w:rsid w:val="288E51A7"/>
    <w:rsid w:val="28BB6D6E"/>
    <w:rsid w:val="28CED5D2"/>
    <w:rsid w:val="28E49998"/>
    <w:rsid w:val="28F04F16"/>
    <w:rsid w:val="2901BD09"/>
    <w:rsid w:val="29557BBF"/>
    <w:rsid w:val="2964E11D"/>
    <w:rsid w:val="298E9F44"/>
    <w:rsid w:val="29A7EEDF"/>
    <w:rsid w:val="29D92086"/>
    <w:rsid w:val="29E6A20A"/>
    <w:rsid w:val="2A04581C"/>
    <w:rsid w:val="2A2E046E"/>
    <w:rsid w:val="2A5F0AF5"/>
    <w:rsid w:val="2A60BB19"/>
    <w:rsid w:val="2A691599"/>
    <w:rsid w:val="2A744E8E"/>
    <w:rsid w:val="2A90A8B1"/>
    <w:rsid w:val="2A97511C"/>
    <w:rsid w:val="2A9FA645"/>
    <w:rsid w:val="2AC5C58F"/>
    <w:rsid w:val="2ADC64F3"/>
    <w:rsid w:val="2AF69DAE"/>
    <w:rsid w:val="2AF8161C"/>
    <w:rsid w:val="2B24C55B"/>
    <w:rsid w:val="2B786230"/>
    <w:rsid w:val="2B9B0DE8"/>
    <w:rsid w:val="2BA75C24"/>
    <w:rsid w:val="2BB3C60B"/>
    <w:rsid w:val="2BBA1B4D"/>
    <w:rsid w:val="2BDF5247"/>
    <w:rsid w:val="2BE3F64E"/>
    <w:rsid w:val="2C04E5FA"/>
    <w:rsid w:val="2C27BE4D"/>
    <w:rsid w:val="2C3B9FAC"/>
    <w:rsid w:val="2C3D2804"/>
    <w:rsid w:val="2C588F99"/>
    <w:rsid w:val="2C61FA97"/>
    <w:rsid w:val="2C6FD321"/>
    <w:rsid w:val="2C834CE8"/>
    <w:rsid w:val="2C8A541B"/>
    <w:rsid w:val="2C9AAFEA"/>
    <w:rsid w:val="2CAB0FC8"/>
    <w:rsid w:val="2CE0BE91"/>
    <w:rsid w:val="2CE4AF4F"/>
    <w:rsid w:val="2D25B580"/>
    <w:rsid w:val="2D3AF367"/>
    <w:rsid w:val="2D695641"/>
    <w:rsid w:val="2D72E0FB"/>
    <w:rsid w:val="2D736343"/>
    <w:rsid w:val="2D956247"/>
    <w:rsid w:val="2D95D05B"/>
    <w:rsid w:val="2D9FA99E"/>
    <w:rsid w:val="2DA0B65B"/>
    <w:rsid w:val="2DA96CD8"/>
    <w:rsid w:val="2DB113FE"/>
    <w:rsid w:val="2DBE1D73"/>
    <w:rsid w:val="2DEEE56B"/>
    <w:rsid w:val="2E0791B9"/>
    <w:rsid w:val="2E277A0E"/>
    <w:rsid w:val="2E80C86A"/>
    <w:rsid w:val="2EB5D76F"/>
    <w:rsid w:val="2EB67CC0"/>
    <w:rsid w:val="2F052972"/>
    <w:rsid w:val="2F053BD2"/>
    <w:rsid w:val="2F2ED7BA"/>
    <w:rsid w:val="2F2FB114"/>
    <w:rsid w:val="2F4037CD"/>
    <w:rsid w:val="2F4990B1"/>
    <w:rsid w:val="2F599C98"/>
    <w:rsid w:val="2F5FA2FE"/>
    <w:rsid w:val="2F6AF07E"/>
    <w:rsid w:val="2FD64116"/>
    <w:rsid w:val="2FF77CD3"/>
    <w:rsid w:val="2FF9757A"/>
    <w:rsid w:val="3027A1EC"/>
    <w:rsid w:val="3028767F"/>
    <w:rsid w:val="3036C9D0"/>
    <w:rsid w:val="307F7B9A"/>
    <w:rsid w:val="30B21351"/>
    <w:rsid w:val="30D2EEB5"/>
    <w:rsid w:val="30FCB446"/>
    <w:rsid w:val="30FD298C"/>
    <w:rsid w:val="31128BDB"/>
    <w:rsid w:val="31261AF2"/>
    <w:rsid w:val="3132F7BA"/>
    <w:rsid w:val="3143AADC"/>
    <w:rsid w:val="316070FE"/>
    <w:rsid w:val="31806135"/>
    <w:rsid w:val="3184D452"/>
    <w:rsid w:val="31ACEFD1"/>
    <w:rsid w:val="31B7A1E0"/>
    <w:rsid w:val="31BF1197"/>
    <w:rsid w:val="31CE76F5"/>
    <w:rsid w:val="320B335D"/>
    <w:rsid w:val="323FC659"/>
    <w:rsid w:val="3252A05A"/>
    <w:rsid w:val="32830A56"/>
    <w:rsid w:val="328A4CEE"/>
    <w:rsid w:val="32C85371"/>
    <w:rsid w:val="32CDBADE"/>
    <w:rsid w:val="32E67301"/>
    <w:rsid w:val="3300F1EA"/>
    <w:rsid w:val="330E3054"/>
    <w:rsid w:val="331D0E46"/>
    <w:rsid w:val="3325383A"/>
    <w:rsid w:val="335CF061"/>
    <w:rsid w:val="33925540"/>
    <w:rsid w:val="33AB2A09"/>
    <w:rsid w:val="33D79013"/>
    <w:rsid w:val="33F2C154"/>
    <w:rsid w:val="341E2A73"/>
    <w:rsid w:val="344456FC"/>
    <w:rsid w:val="345CC181"/>
    <w:rsid w:val="34782130"/>
    <w:rsid w:val="347ABB7E"/>
    <w:rsid w:val="34925AE1"/>
    <w:rsid w:val="34B6FB99"/>
    <w:rsid w:val="34BF04CA"/>
    <w:rsid w:val="34D73108"/>
    <w:rsid w:val="34E33595"/>
    <w:rsid w:val="35178262"/>
    <w:rsid w:val="35212025"/>
    <w:rsid w:val="353404BE"/>
    <w:rsid w:val="35374677"/>
    <w:rsid w:val="353C30B4"/>
    <w:rsid w:val="3549379F"/>
    <w:rsid w:val="35597EC8"/>
    <w:rsid w:val="355B729A"/>
    <w:rsid w:val="3578E076"/>
    <w:rsid w:val="35829E37"/>
    <w:rsid w:val="35980CC4"/>
    <w:rsid w:val="35FBDE41"/>
    <w:rsid w:val="3618580F"/>
    <w:rsid w:val="367E08DC"/>
    <w:rsid w:val="36B57F50"/>
    <w:rsid w:val="36D9E345"/>
    <w:rsid w:val="374D3FBA"/>
    <w:rsid w:val="376D2AE5"/>
    <w:rsid w:val="379A1AD2"/>
    <w:rsid w:val="37C2F849"/>
    <w:rsid w:val="37C7D4D8"/>
    <w:rsid w:val="37F11B9B"/>
    <w:rsid w:val="380E1DAC"/>
    <w:rsid w:val="3819D93D"/>
    <w:rsid w:val="38287096"/>
    <w:rsid w:val="38494B7D"/>
    <w:rsid w:val="3882F84B"/>
    <w:rsid w:val="38C1A8F1"/>
    <w:rsid w:val="38DB9FDE"/>
    <w:rsid w:val="38FF2797"/>
    <w:rsid w:val="393EBA34"/>
    <w:rsid w:val="397FDC67"/>
    <w:rsid w:val="39B5A99E"/>
    <w:rsid w:val="39C0CB2D"/>
    <w:rsid w:val="39DFF5F7"/>
    <w:rsid w:val="3A21EBA6"/>
    <w:rsid w:val="3A46A4E6"/>
    <w:rsid w:val="3AA9B9DE"/>
    <w:rsid w:val="3AACDD6E"/>
    <w:rsid w:val="3ABC6B05"/>
    <w:rsid w:val="3ACC2BEE"/>
    <w:rsid w:val="3AD118C9"/>
    <w:rsid w:val="3AE43D9B"/>
    <w:rsid w:val="3AF6FFBB"/>
    <w:rsid w:val="3B0E632C"/>
    <w:rsid w:val="3B0E8CFB"/>
    <w:rsid w:val="3B5A369E"/>
    <w:rsid w:val="3B6FADD1"/>
    <w:rsid w:val="3B805C03"/>
    <w:rsid w:val="3BD006B1"/>
    <w:rsid w:val="3BFDD31E"/>
    <w:rsid w:val="3C0230DE"/>
    <w:rsid w:val="3C130FA4"/>
    <w:rsid w:val="3C24E5A6"/>
    <w:rsid w:val="3C6D274E"/>
    <w:rsid w:val="3C6F268D"/>
    <w:rsid w:val="3C9199B1"/>
    <w:rsid w:val="3CAF49A8"/>
    <w:rsid w:val="3CD412CF"/>
    <w:rsid w:val="3CDE67A1"/>
    <w:rsid w:val="3D128768"/>
    <w:rsid w:val="3D554DEF"/>
    <w:rsid w:val="3D803706"/>
    <w:rsid w:val="3D8C587C"/>
    <w:rsid w:val="3DE89B02"/>
    <w:rsid w:val="3DF504E9"/>
    <w:rsid w:val="3DFEDC0C"/>
    <w:rsid w:val="3E18AA3D"/>
    <w:rsid w:val="3E3661AF"/>
    <w:rsid w:val="3E3F03D4"/>
    <w:rsid w:val="3E416E8C"/>
    <w:rsid w:val="3E485EF8"/>
    <w:rsid w:val="3E76D58A"/>
    <w:rsid w:val="3E93C506"/>
    <w:rsid w:val="3E9C8D90"/>
    <w:rsid w:val="3ECCA08A"/>
    <w:rsid w:val="3EF11E50"/>
    <w:rsid w:val="3F716DB7"/>
    <w:rsid w:val="3FC98964"/>
    <w:rsid w:val="3FD25D0A"/>
    <w:rsid w:val="3FDCB928"/>
    <w:rsid w:val="3FF9663F"/>
    <w:rsid w:val="40049999"/>
    <w:rsid w:val="402BCC29"/>
    <w:rsid w:val="40498712"/>
    <w:rsid w:val="4071D2D8"/>
    <w:rsid w:val="408355CC"/>
    <w:rsid w:val="408F6E8D"/>
    <w:rsid w:val="40C20748"/>
    <w:rsid w:val="40D0CF0F"/>
    <w:rsid w:val="40E7183F"/>
    <w:rsid w:val="40FDCC91"/>
    <w:rsid w:val="412A48C6"/>
    <w:rsid w:val="416B7879"/>
    <w:rsid w:val="417EB424"/>
    <w:rsid w:val="419C0A66"/>
    <w:rsid w:val="41A9D511"/>
    <w:rsid w:val="41C1CF7B"/>
    <w:rsid w:val="41F29360"/>
    <w:rsid w:val="4207C289"/>
    <w:rsid w:val="422EE0EE"/>
    <w:rsid w:val="423001AF"/>
    <w:rsid w:val="426C07F8"/>
    <w:rsid w:val="42796BE3"/>
    <w:rsid w:val="4290D9EE"/>
    <w:rsid w:val="429D750B"/>
    <w:rsid w:val="42A702C5"/>
    <w:rsid w:val="43083764"/>
    <w:rsid w:val="43141566"/>
    <w:rsid w:val="431D9D84"/>
    <w:rsid w:val="434CE6B0"/>
    <w:rsid w:val="435C8D59"/>
    <w:rsid w:val="437E00D0"/>
    <w:rsid w:val="439E5C4F"/>
    <w:rsid w:val="43AB7F75"/>
    <w:rsid w:val="43CAA8B9"/>
    <w:rsid w:val="43D1A2B6"/>
    <w:rsid w:val="43D7A800"/>
    <w:rsid w:val="44049687"/>
    <w:rsid w:val="4405317F"/>
    <w:rsid w:val="4428A0C7"/>
    <w:rsid w:val="4430E464"/>
    <w:rsid w:val="44801495"/>
    <w:rsid w:val="44E4D13B"/>
    <w:rsid w:val="44F3073D"/>
    <w:rsid w:val="4545B42B"/>
    <w:rsid w:val="454C9B98"/>
    <w:rsid w:val="45582E83"/>
    <w:rsid w:val="456D063E"/>
    <w:rsid w:val="457D46B6"/>
    <w:rsid w:val="458EE113"/>
    <w:rsid w:val="45BE988C"/>
    <w:rsid w:val="45C04F3E"/>
    <w:rsid w:val="45DF3F4F"/>
    <w:rsid w:val="45F64247"/>
    <w:rsid w:val="4626EAE4"/>
    <w:rsid w:val="467FD6E7"/>
    <w:rsid w:val="46F72F2E"/>
    <w:rsid w:val="473187C6"/>
    <w:rsid w:val="473A2692"/>
    <w:rsid w:val="47539505"/>
    <w:rsid w:val="47554B96"/>
    <w:rsid w:val="4760FD42"/>
    <w:rsid w:val="479873E4"/>
    <w:rsid w:val="47AF7A54"/>
    <w:rsid w:val="47BC2736"/>
    <w:rsid w:val="47FBBB53"/>
    <w:rsid w:val="4821CE66"/>
    <w:rsid w:val="4828223B"/>
    <w:rsid w:val="4835087C"/>
    <w:rsid w:val="48718561"/>
    <w:rsid w:val="48B91BCF"/>
    <w:rsid w:val="4923BFFA"/>
    <w:rsid w:val="49414547"/>
    <w:rsid w:val="494648EF"/>
    <w:rsid w:val="494DD565"/>
    <w:rsid w:val="4953AA8F"/>
    <w:rsid w:val="49604280"/>
    <w:rsid w:val="496A2855"/>
    <w:rsid w:val="49B07AF7"/>
    <w:rsid w:val="49E96B3E"/>
    <w:rsid w:val="49EE5AEF"/>
    <w:rsid w:val="4A08CBC2"/>
    <w:rsid w:val="4A0FE698"/>
    <w:rsid w:val="4A295227"/>
    <w:rsid w:val="4A2B709B"/>
    <w:rsid w:val="4A302387"/>
    <w:rsid w:val="4A5CBB77"/>
    <w:rsid w:val="4A6503AA"/>
    <w:rsid w:val="4A7D1BBF"/>
    <w:rsid w:val="4A855272"/>
    <w:rsid w:val="4A89F6F7"/>
    <w:rsid w:val="4AA720D8"/>
    <w:rsid w:val="4AAA7053"/>
    <w:rsid w:val="4AE6D26F"/>
    <w:rsid w:val="4B44AA7E"/>
    <w:rsid w:val="4B65952B"/>
    <w:rsid w:val="4B6FF7C3"/>
    <w:rsid w:val="4BB03866"/>
    <w:rsid w:val="4BC99E5A"/>
    <w:rsid w:val="4BD8A689"/>
    <w:rsid w:val="4BF614AB"/>
    <w:rsid w:val="4C1507F5"/>
    <w:rsid w:val="4C26410A"/>
    <w:rsid w:val="4C2CE681"/>
    <w:rsid w:val="4C3B7C97"/>
    <w:rsid w:val="4C3E5BB9"/>
    <w:rsid w:val="4C568117"/>
    <w:rsid w:val="4C6E7289"/>
    <w:rsid w:val="4C8B902D"/>
    <w:rsid w:val="4CC9721E"/>
    <w:rsid w:val="4CD5F6EE"/>
    <w:rsid w:val="4CDD78ED"/>
    <w:rsid w:val="4CDF0338"/>
    <w:rsid w:val="4CE56578"/>
    <w:rsid w:val="4D09C251"/>
    <w:rsid w:val="4D18BCE9"/>
    <w:rsid w:val="4D416EE5"/>
    <w:rsid w:val="4D4510E5"/>
    <w:rsid w:val="4D5004D6"/>
    <w:rsid w:val="4D9EE5C6"/>
    <w:rsid w:val="4DAE1416"/>
    <w:rsid w:val="4DB2FEAF"/>
    <w:rsid w:val="4E0AC40C"/>
    <w:rsid w:val="4E1188E5"/>
    <w:rsid w:val="4E287416"/>
    <w:rsid w:val="4E5E592A"/>
    <w:rsid w:val="4EAA7660"/>
    <w:rsid w:val="4ECA606B"/>
    <w:rsid w:val="4F21E30E"/>
    <w:rsid w:val="4F2477B2"/>
    <w:rsid w:val="4F2F8292"/>
    <w:rsid w:val="4F66A0E6"/>
    <w:rsid w:val="4F803045"/>
    <w:rsid w:val="4F8D88B6"/>
    <w:rsid w:val="4FA45A38"/>
    <w:rsid w:val="4FC6B892"/>
    <w:rsid w:val="4FD9FB32"/>
    <w:rsid w:val="4FF14CD8"/>
    <w:rsid w:val="5005D716"/>
    <w:rsid w:val="5042D544"/>
    <w:rsid w:val="50965A8E"/>
    <w:rsid w:val="509CD3E8"/>
    <w:rsid w:val="50C42852"/>
    <w:rsid w:val="50CE8B23"/>
    <w:rsid w:val="50D0E566"/>
    <w:rsid w:val="50D70C82"/>
    <w:rsid w:val="50D78E4C"/>
    <w:rsid w:val="50E02E9C"/>
    <w:rsid w:val="511E2D43"/>
    <w:rsid w:val="511FBC4F"/>
    <w:rsid w:val="5129ACAB"/>
    <w:rsid w:val="513CA352"/>
    <w:rsid w:val="5149ECB2"/>
    <w:rsid w:val="5156EDD1"/>
    <w:rsid w:val="51980922"/>
    <w:rsid w:val="521D67B8"/>
    <w:rsid w:val="52289FFD"/>
    <w:rsid w:val="524A73FC"/>
    <w:rsid w:val="524F11BA"/>
    <w:rsid w:val="525DBCDB"/>
    <w:rsid w:val="526FBA03"/>
    <w:rsid w:val="5272DC83"/>
    <w:rsid w:val="52AC4A17"/>
    <w:rsid w:val="52DC8952"/>
    <w:rsid w:val="52FE19AD"/>
    <w:rsid w:val="53468D3D"/>
    <w:rsid w:val="53838111"/>
    <w:rsid w:val="5383B497"/>
    <w:rsid w:val="53903189"/>
    <w:rsid w:val="53A694FF"/>
    <w:rsid w:val="53B3DCB6"/>
    <w:rsid w:val="53FF0C27"/>
    <w:rsid w:val="54303AA9"/>
    <w:rsid w:val="5456C599"/>
    <w:rsid w:val="54832570"/>
    <w:rsid w:val="54BFA18C"/>
    <w:rsid w:val="54C27FBE"/>
    <w:rsid w:val="54F6291F"/>
    <w:rsid w:val="553D80F5"/>
    <w:rsid w:val="5566D817"/>
    <w:rsid w:val="55898982"/>
    <w:rsid w:val="55CAD635"/>
    <w:rsid w:val="55CC42E5"/>
    <w:rsid w:val="55FAB556"/>
    <w:rsid w:val="55FCA5F9"/>
    <w:rsid w:val="5604B7C0"/>
    <w:rsid w:val="56051C67"/>
    <w:rsid w:val="561D75C1"/>
    <w:rsid w:val="561FD0E5"/>
    <w:rsid w:val="5685BBF9"/>
    <w:rsid w:val="569E94DF"/>
    <w:rsid w:val="56C09B4E"/>
    <w:rsid w:val="56E1E3C4"/>
    <w:rsid w:val="56E671FC"/>
    <w:rsid w:val="56FF2103"/>
    <w:rsid w:val="574DC58A"/>
    <w:rsid w:val="5752AF89"/>
    <w:rsid w:val="579437CA"/>
    <w:rsid w:val="57AFAE14"/>
    <w:rsid w:val="57C3193C"/>
    <w:rsid w:val="57CDA75F"/>
    <w:rsid w:val="57DCC83C"/>
    <w:rsid w:val="57EB1BD8"/>
    <w:rsid w:val="5807A808"/>
    <w:rsid w:val="580A2C10"/>
    <w:rsid w:val="5841281D"/>
    <w:rsid w:val="587A000A"/>
    <w:rsid w:val="589AEC09"/>
    <w:rsid w:val="58AA7D01"/>
    <w:rsid w:val="58AABC32"/>
    <w:rsid w:val="58BE422B"/>
    <w:rsid w:val="58EE7FEA"/>
    <w:rsid w:val="58FA76B3"/>
    <w:rsid w:val="5905753C"/>
    <w:rsid w:val="590C7BD3"/>
    <w:rsid w:val="5911EF13"/>
    <w:rsid w:val="591C3FB9"/>
    <w:rsid w:val="59201F22"/>
    <w:rsid w:val="5954ACF3"/>
    <w:rsid w:val="599E563C"/>
    <w:rsid w:val="59B41D2C"/>
    <w:rsid w:val="59E9DE32"/>
    <w:rsid w:val="5A0ABF7B"/>
    <w:rsid w:val="5A44ECB9"/>
    <w:rsid w:val="5A5724AA"/>
    <w:rsid w:val="5A57FB8D"/>
    <w:rsid w:val="5A6DEF27"/>
    <w:rsid w:val="5A7752A3"/>
    <w:rsid w:val="5ACB6ADC"/>
    <w:rsid w:val="5ADC2EFB"/>
    <w:rsid w:val="5AF460C3"/>
    <w:rsid w:val="5B1DFF4B"/>
    <w:rsid w:val="5B357F31"/>
    <w:rsid w:val="5B41E152"/>
    <w:rsid w:val="5B4BDC46"/>
    <w:rsid w:val="5B565982"/>
    <w:rsid w:val="5B5769B1"/>
    <w:rsid w:val="5B650C2C"/>
    <w:rsid w:val="5B6780AE"/>
    <w:rsid w:val="5B771AD6"/>
    <w:rsid w:val="5B9122AC"/>
    <w:rsid w:val="5B92ED5B"/>
    <w:rsid w:val="5BBA1001"/>
    <w:rsid w:val="5BFBB17F"/>
    <w:rsid w:val="5C15BE4D"/>
    <w:rsid w:val="5C1E7426"/>
    <w:rsid w:val="5C30E63E"/>
    <w:rsid w:val="5C315A77"/>
    <w:rsid w:val="5C3193AD"/>
    <w:rsid w:val="5C458AF0"/>
    <w:rsid w:val="5C50D540"/>
    <w:rsid w:val="5C97F01B"/>
    <w:rsid w:val="5C99D907"/>
    <w:rsid w:val="5CA7A6DF"/>
    <w:rsid w:val="5CC78946"/>
    <w:rsid w:val="5CC870E5"/>
    <w:rsid w:val="5CFD0033"/>
    <w:rsid w:val="5D037778"/>
    <w:rsid w:val="5D06067E"/>
    <w:rsid w:val="5D14786F"/>
    <w:rsid w:val="5D17A669"/>
    <w:rsid w:val="5D238250"/>
    <w:rsid w:val="5D3E8719"/>
    <w:rsid w:val="5D404D60"/>
    <w:rsid w:val="5D408031"/>
    <w:rsid w:val="5D6A6720"/>
    <w:rsid w:val="5DE346F5"/>
    <w:rsid w:val="5DED2126"/>
    <w:rsid w:val="5E0665E3"/>
    <w:rsid w:val="5E0D8B68"/>
    <w:rsid w:val="5E16D03C"/>
    <w:rsid w:val="5E17E56A"/>
    <w:rsid w:val="5E398ABD"/>
    <w:rsid w:val="5E5A0B5B"/>
    <w:rsid w:val="5E601416"/>
    <w:rsid w:val="5E6594A9"/>
    <w:rsid w:val="5E70B515"/>
    <w:rsid w:val="5EB16179"/>
    <w:rsid w:val="5EEDA194"/>
    <w:rsid w:val="5F06C55F"/>
    <w:rsid w:val="5F54F259"/>
    <w:rsid w:val="5F5D5F41"/>
    <w:rsid w:val="5F681B1D"/>
    <w:rsid w:val="5F97EA71"/>
    <w:rsid w:val="5F9B4E20"/>
    <w:rsid w:val="5FA2B983"/>
    <w:rsid w:val="5FB23BF6"/>
    <w:rsid w:val="5FB3B5CB"/>
    <w:rsid w:val="5FDB5BBA"/>
    <w:rsid w:val="5FF818D9"/>
    <w:rsid w:val="60090904"/>
    <w:rsid w:val="600C9BA1"/>
    <w:rsid w:val="6023891A"/>
    <w:rsid w:val="603179C7"/>
    <w:rsid w:val="603A0F1F"/>
    <w:rsid w:val="604E5D4E"/>
    <w:rsid w:val="605ACAB1"/>
    <w:rsid w:val="606F5713"/>
    <w:rsid w:val="60855C58"/>
    <w:rsid w:val="60D6968F"/>
    <w:rsid w:val="60D6B82A"/>
    <w:rsid w:val="60FF72C6"/>
    <w:rsid w:val="61050F2B"/>
    <w:rsid w:val="6113A7D4"/>
    <w:rsid w:val="61365922"/>
    <w:rsid w:val="613AB109"/>
    <w:rsid w:val="61524E4C"/>
    <w:rsid w:val="615E0914"/>
    <w:rsid w:val="6173172E"/>
    <w:rsid w:val="619C5C54"/>
    <w:rsid w:val="61A1FCE3"/>
    <w:rsid w:val="61A9110F"/>
    <w:rsid w:val="61EB754B"/>
    <w:rsid w:val="62147CA9"/>
    <w:rsid w:val="6231ED72"/>
    <w:rsid w:val="624F6726"/>
    <w:rsid w:val="6283560F"/>
    <w:rsid w:val="628454C0"/>
    <w:rsid w:val="62B6A00E"/>
    <w:rsid w:val="62BF9293"/>
    <w:rsid w:val="637BD3C7"/>
    <w:rsid w:val="6384A349"/>
    <w:rsid w:val="6390A50B"/>
    <w:rsid w:val="639958B1"/>
    <w:rsid w:val="63BCE99F"/>
    <w:rsid w:val="63FB0978"/>
    <w:rsid w:val="640C956B"/>
    <w:rsid w:val="642558D8"/>
    <w:rsid w:val="6428D943"/>
    <w:rsid w:val="647AB50B"/>
    <w:rsid w:val="649F1C7C"/>
    <w:rsid w:val="64B98BDD"/>
    <w:rsid w:val="64B9D624"/>
    <w:rsid w:val="64ED8709"/>
    <w:rsid w:val="64EF59F5"/>
    <w:rsid w:val="65677D2C"/>
    <w:rsid w:val="657B3579"/>
    <w:rsid w:val="65DC3CD0"/>
    <w:rsid w:val="65E718F7"/>
    <w:rsid w:val="65EC2DCB"/>
    <w:rsid w:val="65FEC2CD"/>
    <w:rsid w:val="667246D8"/>
    <w:rsid w:val="67174D3F"/>
    <w:rsid w:val="67209C27"/>
    <w:rsid w:val="67241D64"/>
    <w:rsid w:val="673FE46F"/>
    <w:rsid w:val="674CC009"/>
    <w:rsid w:val="674FF789"/>
    <w:rsid w:val="6777F14A"/>
    <w:rsid w:val="679C876F"/>
    <w:rsid w:val="67B7EAF4"/>
    <w:rsid w:val="67BB54A2"/>
    <w:rsid w:val="67BF1645"/>
    <w:rsid w:val="67BFAAC0"/>
    <w:rsid w:val="67D538BF"/>
    <w:rsid w:val="67E1CFC4"/>
    <w:rsid w:val="67FA2473"/>
    <w:rsid w:val="6802260B"/>
    <w:rsid w:val="6834F49E"/>
    <w:rsid w:val="685C7800"/>
    <w:rsid w:val="6862FD69"/>
    <w:rsid w:val="68AFEF7B"/>
    <w:rsid w:val="68F5B496"/>
    <w:rsid w:val="68FEBD96"/>
    <w:rsid w:val="69205802"/>
    <w:rsid w:val="69498396"/>
    <w:rsid w:val="694E1C03"/>
    <w:rsid w:val="698179A3"/>
    <w:rsid w:val="69856E1B"/>
    <w:rsid w:val="69CB4483"/>
    <w:rsid w:val="6A0ADC10"/>
    <w:rsid w:val="6A1975FE"/>
    <w:rsid w:val="6A38BD51"/>
    <w:rsid w:val="6A53E416"/>
    <w:rsid w:val="6A6479E0"/>
    <w:rsid w:val="6AC8FDB6"/>
    <w:rsid w:val="6B0451B4"/>
    <w:rsid w:val="6B07823F"/>
    <w:rsid w:val="6B20BD2F"/>
    <w:rsid w:val="6B24A661"/>
    <w:rsid w:val="6B3C3F04"/>
    <w:rsid w:val="6B3DE1FB"/>
    <w:rsid w:val="6B43A971"/>
    <w:rsid w:val="6B509117"/>
    <w:rsid w:val="6B50AF0E"/>
    <w:rsid w:val="6B838D34"/>
    <w:rsid w:val="6BAEF598"/>
    <w:rsid w:val="6BB29798"/>
    <w:rsid w:val="6BC0FAB8"/>
    <w:rsid w:val="6BE62ABD"/>
    <w:rsid w:val="6BFBA20B"/>
    <w:rsid w:val="6C04F48D"/>
    <w:rsid w:val="6C09ECBB"/>
    <w:rsid w:val="6C15F5E3"/>
    <w:rsid w:val="6C686D84"/>
    <w:rsid w:val="6CC4321A"/>
    <w:rsid w:val="6CECD6AF"/>
    <w:rsid w:val="6CF8A66D"/>
    <w:rsid w:val="6D1EAFC8"/>
    <w:rsid w:val="6D3240A7"/>
    <w:rsid w:val="6D35B7B9"/>
    <w:rsid w:val="6D38E07C"/>
    <w:rsid w:val="6D481754"/>
    <w:rsid w:val="6D884299"/>
    <w:rsid w:val="6D972BDD"/>
    <w:rsid w:val="6D9ED4A0"/>
    <w:rsid w:val="6DD1676D"/>
    <w:rsid w:val="6DF912CD"/>
    <w:rsid w:val="6DFF6CA1"/>
    <w:rsid w:val="6E142C13"/>
    <w:rsid w:val="6E2A2A34"/>
    <w:rsid w:val="6E6DC327"/>
    <w:rsid w:val="6E77DF42"/>
    <w:rsid w:val="6E7A8D14"/>
    <w:rsid w:val="6EA799BE"/>
    <w:rsid w:val="6EA869DA"/>
    <w:rsid w:val="6EC39927"/>
    <w:rsid w:val="6ED8333A"/>
    <w:rsid w:val="6EF71D13"/>
    <w:rsid w:val="6EFFD5F0"/>
    <w:rsid w:val="6F195F82"/>
    <w:rsid w:val="6F33CD68"/>
    <w:rsid w:val="6F3ED689"/>
    <w:rsid w:val="6F5A2064"/>
    <w:rsid w:val="6F63C042"/>
    <w:rsid w:val="6F8EF3EF"/>
    <w:rsid w:val="6F95A1C9"/>
    <w:rsid w:val="6F95E2F8"/>
    <w:rsid w:val="6FB5388B"/>
    <w:rsid w:val="6FBAB0BE"/>
    <w:rsid w:val="6FCBAE2C"/>
    <w:rsid w:val="6FEDEDAD"/>
    <w:rsid w:val="703234D5"/>
    <w:rsid w:val="703C6767"/>
    <w:rsid w:val="7048E72D"/>
    <w:rsid w:val="704A250F"/>
    <w:rsid w:val="706CFD04"/>
    <w:rsid w:val="7070813E"/>
    <w:rsid w:val="71061617"/>
    <w:rsid w:val="7120EB8D"/>
    <w:rsid w:val="712A2480"/>
    <w:rsid w:val="713A0A56"/>
    <w:rsid w:val="7141B978"/>
    <w:rsid w:val="71476438"/>
    <w:rsid w:val="715BC5AE"/>
    <w:rsid w:val="7167F95F"/>
    <w:rsid w:val="71E9D47B"/>
    <w:rsid w:val="71E9E38C"/>
    <w:rsid w:val="71FE0430"/>
    <w:rsid w:val="725E05F0"/>
    <w:rsid w:val="729C21BC"/>
    <w:rsid w:val="72ADC9D0"/>
    <w:rsid w:val="72BAC0CC"/>
    <w:rsid w:val="730F7F89"/>
    <w:rsid w:val="730FF9C8"/>
    <w:rsid w:val="7360E46F"/>
    <w:rsid w:val="7395170B"/>
    <w:rsid w:val="739EAC76"/>
    <w:rsid w:val="73A995F4"/>
    <w:rsid w:val="73ACBD22"/>
    <w:rsid w:val="73B0D524"/>
    <w:rsid w:val="73DF8D9F"/>
    <w:rsid w:val="73E681E2"/>
    <w:rsid w:val="73FD3804"/>
    <w:rsid w:val="74012F79"/>
    <w:rsid w:val="74239081"/>
    <w:rsid w:val="742871A0"/>
    <w:rsid w:val="745C3F23"/>
    <w:rsid w:val="746F9DE6"/>
    <w:rsid w:val="7486B488"/>
    <w:rsid w:val="7489CBC3"/>
    <w:rsid w:val="74D79D2D"/>
    <w:rsid w:val="74DE1316"/>
    <w:rsid w:val="75039872"/>
    <w:rsid w:val="7523E22E"/>
    <w:rsid w:val="7537D911"/>
    <w:rsid w:val="7568DE16"/>
    <w:rsid w:val="75C2910B"/>
    <w:rsid w:val="75C3729A"/>
    <w:rsid w:val="75EF0A57"/>
    <w:rsid w:val="75FC15D1"/>
    <w:rsid w:val="76042295"/>
    <w:rsid w:val="760E9E70"/>
    <w:rsid w:val="7635DADC"/>
    <w:rsid w:val="764CC1FF"/>
    <w:rsid w:val="76D3990F"/>
    <w:rsid w:val="76EF0DF1"/>
    <w:rsid w:val="76F87D12"/>
    <w:rsid w:val="7715FC82"/>
    <w:rsid w:val="77446EF3"/>
    <w:rsid w:val="77475022"/>
    <w:rsid w:val="77657EB4"/>
    <w:rsid w:val="7787CC80"/>
    <w:rsid w:val="77885BBE"/>
    <w:rsid w:val="778ADAB8"/>
    <w:rsid w:val="778DA7EA"/>
    <w:rsid w:val="779C8D32"/>
    <w:rsid w:val="77A1ED7C"/>
    <w:rsid w:val="77AE07BC"/>
    <w:rsid w:val="77C34D2C"/>
    <w:rsid w:val="77E10A7C"/>
    <w:rsid w:val="77EFAABC"/>
    <w:rsid w:val="78085C5F"/>
    <w:rsid w:val="784ED432"/>
    <w:rsid w:val="7850AEA2"/>
    <w:rsid w:val="787F4404"/>
    <w:rsid w:val="789D52B1"/>
    <w:rsid w:val="78A9CA2D"/>
    <w:rsid w:val="78B6B0C8"/>
    <w:rsid w:val="78C686F5"/>
    <w:rsid w:val="78D49A9E"/>
    <w:rsid w:val="78F34B6E"/>
    <w:rsid w:val="79326A73"/>
    <w:rsid w:val="7974E321"/>
    <w:rsid w:val="79A4C38B"/>
    <w:rsid w:val="79B9D25E"/>
    <w:rsid w:val="79BFD893"/>
    <w:rsid w:val="79E103A6"/>
    <w:rsid w:val="79F79407"/>
    <w:rsid w:val="7A0E3E91"/>
    <w:rsid w:val="7A28B189"/>
    <w:rsid w:val="7A2A745A"/>
    <w:rsid w:val="7A2BFF1E"/>
    <w:rsid w:val="7A2F8B17"/>
    <w:rsid w:val="7A37E0C8"/>
    <w:rsid w:val="7A4D9D44"/>
    <w:rsid w:val="7A93B58E"/>
    <w:rsid w:val="7AABE0D1"/>
    <w:rsid w:val="7AC031C3"/>
    <w:rsid w:val="7B200957"/>
    <w:rsid w:val="7B3F16C3"/>
    <w:rsid w:val="7B429135"/>
    <w:rsid w:val="7B477C89"/>
    <w:rsid w:val="7B593A01"/>
    <w:rsid w:val="7B5E200E"/>
    <w:rsid w:val="7B87DD28"/>
    <w:rsid w:val="7B9340E1"/>
    <w:rsid w:val="7B9F70F3"/>
    <w:rsid w:val="7BFE04C0"/>
    <w:rsid w:val="7C099F64"/>
    <w:rsid w:val="7C13AD59"/>
    <w:rsid w:val="7C1E25DC"/>
    <w:rsid w:val="7C3D57B6"/>
    <w:rsid w:val="7C43C0B6"/>
    <w:rsid w:val="7C49387B"/>
    <w:rsid w:val="7C4DD850"/>
    <w:rsid w:val="7C5B3DA3"/>
    <w:rsid w:val="7C8FB804"/>
    <w:rsid w:val="7CA3CE15"/>
    <w:rsid w:val="7CB7D0C7"/>
    <w:rsid w:val="7CD157BD"/>
    <w:rsid w:val="7D1C6DA6"/>
    <w:rsid w:val="7D629385"/>
    <w:rsid w:val="7DA70FA2"/>
    <w:rsid w:val="7DAFAE30"/>
    <w:rsid w:val="7DBC320B"/>
    <w:rsid w:val="7DD04AE7"/>
    <w:rsid w:val="7DF63A1B"/>
    <w:rsid w:val="7E0FE2CC"/>
    <w:rsid w:val="7E4CF201"/>
    <w:rsid w:val="7E70091B"/>
    <w:rsid w:val="7EA1BC86"/>
    <w:rsid w:val="7EA6C7C9"/>
    <w:rsid w:val="7EE0941B"/>
    <w:rsid w:val="7EFA96E1"/>
    <w:rsid w:val="7EFF74F4"/>
    <w:rsid w:val="7F20B424"/>
    <w:rsid w:val="7F2CB3FF"/>
    <w:rsid w:val="7F4AAA92"/>
    <w:rsid w:val="7F4FC4BC"/>
    <w:rsid w:val="7F938CBB"/>
    <w:rsid w:val="7FCF4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5DF2"/>
  <w15:chartTrackingRefBased/>
  <w15:docId w15:val="{E0F4FB71-2C15-4644-8FB4-02F78596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3C"/>
    <w:pPr>
      <w:spacing w:before="120" w:after="120" w:line="252" w:lineRule="auto"/>
    </w:pPr>
    <w:rPr>
      <w:rFonts w:ascii="Arial" w:hAnsi="Arial" w:cs="Times New Roman"/>
      <w:noProof/>
      <w:szCs w:val="19"/>
      <w:lang w:val="en-GB"/>
    </w:rPr>
  </w:style>
  <w:style w:type="paragraph" w:styleId="Heading1">
    <w:name w:val="heading 1"/>
    <w:basedOn w:val="BodyText"/>
    <w:next w:val="Normal"/>
    <w:link w:val="Heading1Char"/>
    <w:uiPriority w:val="9"/>
    <w:qFormat/>
    <w:rsid w:val="004E258B"/>
    <w:pPr>
      <w:numPr>
        <w:numId w:val="1"/>
      </w:numPr>
      <w:spacing w:after="240"/>
      <w:ind w:left="851" w:hanging="851"/>
      <w:outlineLvl w:val="0"/>
    </w:pPr>
    <w:rPr>
      <w:rFonts w:eastAsia="Calibri" w:cs="Calibri"/>
      <w:b/>
      <w:bCs/>
      <w:sz w:val="32"/>
      <w:szCs w:val="36"/>
      <w:lang w:val="en-GB"/>
    </w:rPr>
  </w:style>
  <w:style w:type="paragraph" w:styleId="Heading2">
    <w:name w:val="heading 2"/>
    <w:basedOn w:val="Heading4"/>
    <w:next w:val="Normal"/>
    <w:link w:val="Heading2Char"/>
    <w:uiPriority w:val="9"/>
    <w:unhideWhenUsed/>
    <w:qFormat/>
    <w:rsid w:val="004E258B"/>
    <w:pPr>
      <w:numPr>
        <w:numId w:val="35"/>
      </w:numPr>
      <w:spacing w:before="0"/>
      <w:outlineLvl w:val="1"/>
    </w:pPr>
    <w:rPr>
      <w:color w:val="14BCAC"/>
      <w:sz w:val="28"/>
    </w:rPr>
  </w:style>
  <w:style w:type="paragraph" w:styleId="Heading3">
    <w:name w:val="heading 3"/>
    <w:basedOn w:val="Normal"/>
    <w:next w:val="Normal"/>
    <w:link w:val="Heading3Char"/>
    <w:uiPriority w:val="9"/>
    <w:unhideWhenUsed/>
    <w:qFormat/>
    <w:rsid w:val="004E258B"/>
    <w:pPr>
      <w:spacing w:line="240" w:lineRule="auto"/>
      <w:outlineLvl w:val="2"/>
    </w:pPr>
    <w:rPr>
      <w:b/>
      <w:bCs/>
      <w:i/>
      <w:iCs/>
      <w:szCs w:val="20"/>
    </w:rPr>
  </w:style>
  <w:style w:type="paragraph" w:styleId="Heading4">
    <w:name w:val="heading 4"/>
    <w:aliases w:val="Normal - New Text PwC"/>
    <w:basedOn w:val="Normal"/>
    <w:next w:val="Normal"/>
    <w:link w:val="Heading4Char"/>
    <w:uiPriority w:val="9"/>
    <w:unhideWhenUsed/>
    <w:qFormat/>
    <w:rsid w:val="008F5EFB"/>
    <w:pPr>
      <w:outlineLvl w:val="3"/>
    </w:pPr>
    <w:rPr>
      <w:color w:val="4472C4" w:themeColor="accent1"/>
    </w:rPr>
  </w:style>
  <w:style w:type="paragraph" w:styleId="Heading5">
    <w:name w:val="heading 5"/>
    <w:basedOn w:val="Normal"/>
    <w:link w:val="Heading5Char"/>
    <w:uiPriority w:val="9"/>
    <w:unhideWhenUsed/>
    <w:rsid w:val="00CA1802"/>
    <w:pPr>
      <w:widowControl w:val="0"/>
      <w:autoSpaceDE w:val="0"/>
      <w:autoSpaceDN w:val="0"/>
      <w:spacing w:before="99" w:after="0" w:line="240" w:lineRule="auto"/>
      <w:ind w:left="186"/>
      <w:outlineLvl w:val="4"/>
    </w:pPr>
    <w:rPr>
      <w:rFonts w:ascii="Palatino Linotype" w:eastAsia="Palatino Linotype" w:hAnsi="Palatino Linotype" w:cs="Palatino Linotype"/>
      <w:sz w:val="26"/>
      <w:szCs w:val="26"/>
      <w:lang w:val="en-US"/>
    </w:rPr>
  </w:style>
  <w:style w:type="paragraph" w:styleId="Heading6">
    <w:name w:val="heading 6"/>
    <w:basedOn w:val="Normal"/>
    <w:next w:val="Normal"/>
    <w:link w:val="Heading6Char"/>
    <w:uiPriority w:val="9"/>
    <w:semiHidden/>
    <w:unhideWhenUsed/>
    <w:rsid w:val="0050574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CA1802"/>
    <w:pPr>
      <w:widowControl w:val="0"/>
      <w:autoSpaceDE w:val="0"/>
      <w:autoSpaceDN w:val="0"/>
      <w:spacing w:after="0" w:line="240" w:lineRule="auto"/>
    </w:pPr>
    <w:rPr>
      <w:rFonts w:eastAsia="Times New Roman"/>
      <w:lang w:val="en-US"/>
    </w:rPr>
  </w:style>
  <w:style w:type="character" w:customStyle="1" w:styleId="BodyTextChar">
    <w:name w:val="Body Text Char"/>
    <w:basedOn w:val="DefaultParagraphFont"/>
    <w:link w:val="BodyText"/>
    <w:uiPriority w:val="1"/>
    <w:rsid w:val="00CA1802"/>
    <w:rPr>
      <w:rFonts w:ascii="Times New Roman" w:eastAsia="Times New Roman" w:hAnsi="Times New Roman" w:cs="Times New Roman"/>
      <w:sz w:val="19"/>
      <w:szCs w:val="19"/>
      <w:lang w:val="en-US"/>
    </w:rPr>
  </w:style>
  <w:style w:type="character" w:customStyle="1" w:styleId="Heading5Char">
    <w:name w:val="Heading 5 Char"/>
    <w:basedOn w:val="DefaultParagraphFont"/>
    <w:link w:val="Heading5"/>
    <w:uiPriority w:val="9"/>
    <w:rsid w:val="00CA1802"/>
    <w:rPr>
      <w:rFonts w:ascii="Palatino Linotype" w:eastAsia="Palatino Linotype" w:hAnsi="Palatino Linotype" w:cs="Palatino Linotype"/>
      <w:sz w:val="26"/>
      <w:szCs w:val="26"/>
      <w:lang w:val="en-US"/>
    </w:rPr>
  </w:style>
  <w:style w:type="paragraph" w:styleId="ListParagraph">
    <w:name w:val="List Paragraph"/>
    <w:basedOn w:val="Normal"/>
    <w:uiPriority w:val="34"/>
    <w:qFormat/>
    <w:rsid w:val="00CA1802"/>
    <w:pPr>
      <w:ind w:left="720"/>
      <w:contextualSpacing/>
    </w:pPr>
  </w:style>
  <w:style w:type="character" w:styleId="CommentReference">
    <w:name w:val="annotation reference"/>
    <w:basedOn w:val="DefaultParagraphFont"/>
    <w:uiPriority w:val="99"/>
    <w:semiHidden/>
    <w:unhideWhenUsed/>
    <w:rsid w:val="00CA1802"/>
    <w:rPr>
      <w:sz w:val="16"/>
      <w:szCs w:val="16"/>
    </w:rPr>
  </w:style>
  <w:style w:type="paragraph" w:styleId="CommentText">
    <w:name w:val="annotation text"/>
    <w:basedOn w:val="Normal"/>
    <w:link w:val="CommentTextChar"/>
    <w:uiPriority w:val="99"/>
    <w:unhideWhenUsed/>
    <w:rsid w:val="00CA1802"/>
    <w:pPr>
      <w:spacing w:line="240" w:lineRule="auto"/>
    </w:pPr>
    <w:rPr>
      <w:sz w:val="20"/>
      <w:szCs w:val="20"/>
    </w:rPr>
  </w:style>
  <w:style w:type="character" w:customStyle="1" w:styleId="CommentTextChar">
    <w:name w:val="Comment Text Char"/>
    <w:basedOn w:val="DefaultParagraphFont"/>
    <w:link w:val="CommentText"/>
    <w:uiPriority w:val="99"/>
    <w:rsid w:val="00CA1802"/>
    <w:rPr>
      <w:sz w:val="20"/>
      <w:szCs w:val="20"/>
    </w:rPr>
  </w:style>
  <w:style w:type="paragraph" w:customStyle="1" w:styleId="Default">
    <w:name w:val="Default"/>
    <w:rsid w:val="00A63245"/>
    <w:pPr>
      <w:autoSpaceDE w:val="0"/>
      <w:autoSpaceDN w:val="0"/>
      <w:adjustRightInd w:val="0"/>
      <w:spacing w:after="0" w:line="240" w:lineRule="auto"/>
    </w:pPr>
    <w:rPr>
      <w:rFonts w:ascii="Gotham" w:hAnsi="Gotham" w:cs="Gotham"/>
      <w:color w:val="000000"/>
      <w:sz w:val="24"/>
      <w:szCs w:val="24"/>
    </w:rPr>
  </w:style>
  <w:style w:type="paragraph" w:styleId="CommentSubject">
    <w:name w:val="annotation subject"/>
    <w:basedOn w:val="CommentText"/>
    <w:next w:val="CommentText"/>
    <w:link w:val="CommentSubjectChar"/>
    <w:uiPriority w:val="99"/>
    <w:semiHidden/>
    <w:unhideWhenUsed/>
    <w:rsid w:val="00EF6487"/>
    <w:rPr>
      <w:b/>
      <w:bCs/>
    </w:rPr>
  </w:style>
  <w:style w:type="character" w:customStyle="1" w:styleId="CommentSubjectChar">
    <w:name w:val="Comment Subject Char"/>
    <w:basedOn w:val="CommentTextChar"/>
    <w:link w:val="CommentSubject"/>
    <w:uiPriority w:val="99"/>
    <w:semiHidden/>
    <w:rsid w:val="00EF6487"/>
    <w:rPr>
      <w:b/>
      <w:bCs/>
      <w:sz w:val="20"/>
      <w:szCs w:val="20"/>
    </w:rPr>
  </w:style>
  <w:style w:type="paragraph" w:styleId="Revision">
    <w:name w:val="Revision"/>
    <w:hidden/>
    <w:uiPriority w:val="99"/>
    <w:semiHidden/>
    <w:rsid w:val="00FE5E13"/>
    <w:pPr>
      <w:spacing w:after="0" w:line="240" w:lineRule="auto"/>
    </w:pPr>
  </w:style>
  <w:style w:type="character" w:customStyle="1" w:styleId="Heading4Char">
    <w:name w:val="Heading 4 Char"/>
    <w:aliases w:val="Normal - New Text PwC Char"/>
    <w:basedOn w:val="DefaultParagraphFont"/>
    <w:link w:val="Heading4"/>
    <w:uiPriority w:val="9"/>
    <w:rsid w:val="008F5EFB"/>
    <w:rPr>
      <w:rFonts w:ascii="Times New Roman" w:hAnsi="Times New Roman" w:cs="Times New Roman"/>
      <w:noProof/>
      <w:color w:val="4472C4" w:themeColor="accent1"/>
      <w:sz w:val="19"/>
      <w:szCs w:val="19"/>
      <w:lang w:val="en-GB"/>
    </w:rPr>
  </w:style>
  <w:style w:type="character" w:customStyle="1" w:styleId="Heading2Char">
    <w:name w:val="Heading 2 Char"/>
    <w:basedOn w:val="DefaultParagraphFont"/>
    <w:link w:val="Heading2"/>
    <w:uiPriority w:val="9"/>
    <w:rsid w:val="00636E2F"/>
    <w:rPr>
      <w:rFonts w:ascii="Arial" w:hAnsi="Arial" w:cs="Times New Roman"/>
      <w:noProof/>
      <w:color w:val="14BCAC"/>
      <w:sz w:val="28"/>
      <w:szCs w:val="19"/>
      <w:lang w:val="en-GB"/>
    </w:rPr>
  </w:style>
  <w:style w:type="paragraph" w:styleId="Header">
    <w:name w:val="header"/>
    <w:basedOn w:val="Normal"/>
    <w:link w:val="HeaderChar"/>
    <w:uiPriority w:val="99"/>
    <w:unhideWhenUsed/>
    <w:rsid w:val="00DB0A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A30"/>
  </w:style>
  <w:style w:type="paragraph" w:styleId="Footer">
    <w:name w:val="footer"/>
    <w:basedOn w:val="Normal"/>
    <w:link w:val="FooterChar"/>
    <w:uiPriority w:val="99"/>
    <w:unhideWhenUsed/>
    <w:rsid w:val="00DB0A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A30"/>
  </w:style>
  <w:style w:type="character" w:customStyle="1" w:styleId="Heading1Char">
    <w:name w:val="Heading 1 Char"/>
    <w:basedOn w:val="DefaultParagraphFont"/>
    <w:link w:val="Heading1"/>
    <w:uiPriority w:val="9"/>
    <w:rsid w:val="004E258B"/>
    <w:rPr>
      <w:rFonts w:ascii="Arial" w:eastAsia="Calibri" w:hAnsi="Arial" w:cs="Calibri"/>
      <w:b/>
      <w:bCs/>
      <w:noProof/>
      <w:sz w:val="32"/>
      <w:szCs w:val="36"/>
      <w:lang w:val="en-GB"/>
    </w:rPr>
  </w:style>
  <w:style w:type="paragraph" w:styleId="TOCHeading">
    <w:name w:val="TOC Heading"/>
    <w:basedOn w:val="Heading1"/>
    <w:next w:val="Normal"/>
    <w:uiPriority w:val="39"/>
    <w:unhideWhenUsed/>
    <w:rsid w:val="007B6DB7"/>
    <w:pPr>
      <w:outlineLvl w:val="9"/>
    </w:pPr>
    <w:rPr>
      <w:lang w:eastAsia="fr-FR"/>
    </w:rPr>
  </w:style>
  <w:style w:type="paragraph" w:styleId="TOC1">
    <w:name w:val="toc 1"/>
    <w:basedOn w:val="Normal"/>
    <w:next w:val="Normal"/>
    <w:autoRedefine/>
    <w:uiPriority w:val="39"/>
    <w:unhideWhenUsed/>
    <w:rsid w:val="00A12A40"/>
    <w:pPr>
      <w:tabs>
        <w:tab w:val="left" w:pos="567"/>
        <w:tab w:val="right" w:leader="dot" w:pos="9346"/>
      </w:tabs>
      <w:spacing w:after="100"/>
    </w:pPr>
  </w:style>
  <w:style w:type="character" w:styleId="Hyperlink">
    <w:name w:val="Hyperlink"/>
    <w:basedOn w:val="DefaultParagraphFont"/>
    <w:uiPriority w:val="99"/>
    <w:unhideWhenUsed/>
    <w:rsid w:val="007B6DB7"/>
    <w:rPr>
      <w:color w:val="0563C1" w:themeColor="hyperlink"/>
      <w:u w:val="single"/>
    </w:rPr>
  </w:style>
  <w:style w:type="character" w:customStyle="1" w:styleId="Heading6Char">
    <w:name w:val="Heading 6 Char"/>
    <w:basedOn w:val="DefaultParagraphFont"/>
    <w:link w:val="Heading6"/>
    <w:uiPriority w:val="9"/>
    <w:semiHidden/>
    <w:rsid w:val="0050574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rsid w:val="0062136F"/>
    <w:rPr>
      <w:i/>
      <w:iCs/>
    </w:rPr>
  </w:style>
  <w:style w:type="character" w:styleId="UnresolvedMention">
    <w:name w:val="Unresolved Mention"/>
    <w:basedOn w:val="DefaultParagraphFont"/>
    <w:uiPriority w:val="99"/>
    <w:unhideWhenUsed/>
    <w:rsid w:val="00402AED"/>
    <w:rPr>
      <w:color w:val="605E5C"/>
      <w:shd w:val="clear" w:color="auto" w:fill="E1DFDD"/>
    </w:rPr>
  </w:style>
  <w:style w:type="paragraph" w:customStyle="1" w:styleId="paragraph">
    <w:name w:val="paragraph"/>
    <w:basedOn w:val="Normal"/>
    <w:rsid w:val="00624C9E"/>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624C9E"/>
  </w:style>
  <w:style w:type="character" w:customStyle="1" w:styleId="eop">
    <w:name w:val="eop"/>
    <w:basedOn w:val="DefaultParagraphFont"/>
    <w:rsid w:val="00624C9E"/>
  </w:style>
  <w:style w:type="table" w:customStyle="1" w:styleId="TableNormal1">
    <w:name w:val="Table Normal1"/>
    <w:uiPriority w:val="2"/>
    <w:semiHidden/>
    <w:unhideWhenUsed/>
    <w:qFormat/>
    <w:rsid w:val="00D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tion">
    <w:name w:val="Mention"/>
    <w:basedOn w:val="DefaultParagraphFont"/>
    <w:uiPriority w:val="99"/>
    <w:unhideWhenUsed/>
    <w:rsid w:val="00402AED"/>
    <w:rPr>
      <w:color w:val="2B579A"/>
      <w:shd w:val="clear" w:color="auto" w:fill="E1DFDD"/>
    </w:rPr>
  </w:style>
  <w:style w:type="character" w:customStyle="1" w:styleId="Heading3Char">
    <w:name w:val="Heading 3 Char"/>
    <w:basedOn w:val="DefaultParagraphFont"/>
    <w:link w:val="Heading3"/>
    <w:uiPriority w:val="9"/>
    <w:rsid w:val="004E258B"/>
    <w:rPr>
      <w:rFonts w:ascii="Arial" w:hAnsi="Arial" w:cs="Times New Roman"/>
      <w:b/>
      <w:bCs/>
      <w:i/>
      <w:iCs/>
      <w:noProof/>
      <w:szCs w:val="20"/>
      <w:lang w:val="en-GB"/>
    </w:rPr>
  </w:style>
  <w:style w:type="paragraph" w:styleId="NoSpacing">
    <w:name w:val="No Spacing"/>
    <w:uiPriority w:val="1"/>
    <w:rsid w:val="0096166A"/>
    <w:pPr>
      <w:spacing w:after="0" w:line="240" w:lineRule="auto"/>
    </w:pPr>
    <w:rPr>
      <w:rFonts w:ascii="Times New Roman" w:hAnsi="Times New Roman" w:cs="Times New Roman"/>
      <w:noProof/>
      <w:sz w:val="19"/>
      <w:szCs w:val="19"/>
      <w:lang w:val="en-GB"/>
    </w:rPr>
  </w:style>
  <w:style w:type="table" w:styleId="TableGrid">
    <w:name w:val="Table Grid"/>
    <w:basedOn w:val="TableNormal"/>
    <w:uiPriority w:val="39"/>
    <w:rsid w:val="0047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189B"/>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2366">
      <w:bodyDiv w:val="1"/>
      <w:marLeft w:val="0"/>
      <w:marRight w:val="0"/>
      <w:marTop w:val="0"/>
      <w:marBottom w:val="0"/>
      <w:divBdr>
        <w:top w:val="none" w:sz="0" w:space="0" w:color="auto"/>
        <w:left w:val="none" w:sz="0" w:space="0" w:color="auto"/>
        <w:bottom w:val="none" w:sz="0" w:space="0" w:color="auto"/>
        <w:right w:val="none" w:sz="0" w:space="0" w:color="auto"/>
      </w:divBdr>
    </w:div>
    <w:div w:id="555361301">
      <w:bodyDiv w:val="1"/>
      <w:marLeft w:val="0"/>
      <w:marRight w:val="0"/>
      <w:marTop w:val="0"/>
      <w:marBottom w:val="0"/>
      <w:divBdr>
        <w:top w:val="none" w:sz="0" w:space="0" w:color="auto"/>
        <w:left w:val="none" w:sz="0" w:space="0" w:color="auto"/>
        <w:bottom w:val="none" w:sz="0" w:space="0" w:color="auto"/>
        <w:right w:val="none" w:sz="0" w:space="0" w:color="auto"/>
      </w:divBdr>
      <w:divsChild>
        <w:div w:id="1592397451">
          <w:marLeft w:val="0"/>
          <w:marRight w:val="0"/>
          <w:marTop w:val="0"/>
          <w:marBottom w:val="0"/>
          <w:divBdr>
            <w:top w:val="none" w:sz="0" w:space="0" w:color="auto"/>
            <w:left w:val="none" w:sz="0" w:space="0" w:color="auto"/>
            <w:bottom w:val="none" w:sz="0" w:space="0" w:color="auto"/>
            <w:right w:val="none" w:sz="0" w:space="0" w:color="auto"/>
          </w:divBdr>
        </w:div>
        <w:div w:id="10689613">
          <w:marLeft w:val="0"/>
          <w:marRight w:val="0"/>
          <w:marTop w:val="0"/>
          <w:marBottom w:val="0"/>
          <w:divBdr>
            <w:top w:val="none" w:sz="0" w:space="0" w:color="auto"/>
            <w:left w:val="none" w:sz="0" w:space="0" w:color="auto"/>
            <w:bottom w:val="none" w:sz="0" w:space="0" w:color="auto"/>
            <w:right w:val="none" w:sz="0" w:space="0" w:color="auto"/>
          </w:divBdr>
        </w:div>
        <w:div w:id="1303074323">
          <w:marLeft w:val="0"/>
          <w:marRight w:val="0"/>
          <w:marTop w:val="0"/>
          <w:marBottom w:val="0"/>
          <w:divBdr>
            <w:top w:val="none" w:sz="0" w:space="0" w:color="auto"/>
            <w:left w:val="none" w:sz="0" w:space="0" w:color="auto"/>
            <w:bottom w:val="none" w:sz="0" w:space="0" w:color="auto"/>
            <w:right w:val="none" w:sz="0" w:space="0" w:color="auto"/>
          </w:divBdr>
        </w:div>
        <w:div w:id="926503339">
          <w:marLeft w:val="0"/>
          <w:marRight w:val="0"/>
          <w:marTop w:val="0"/>
          <w:marBottom w:val="0"/>
          <w:divBdr>
            <w:top w:val="none" w:sz="0" w:space="0" w:color="auto"/>
            <w:left w:val="none" w:sz="0" w:space="0" w:color="auto"/>
            <w:bottom w:val="none" w:sz="0" w:space="0" w:color="auto"/>
            <w:right w:val="none" w:sz="0" w:space="0" w:color="auto"/>
          </w:divBdr>
        </w:div>
        <w:div w:id="461387047">
          <w:marLeft w:val="0"/>
          <w:marRight w:val="0"/>
          <w:marTop w:val="0"/>
          <w:marBottom w:val="0"/>
          <w:divBdr>
            <w:top w:val="none" w:sz="0" w:space="0" w:color="auto"/>
            <w:left w:val="none" w:sz="0" w:space="0" w:color="auto"/>
            <w:bottom w:val="none" w:sz="0" w:space="0" w:color="auto"/>
            <w:right w:val="none" w:sz="0" w:space="0" w:color="auto"/>
          </w:divBdr>
        </w:div>
        <w:div w:id="766579714">
          <w:marLeft w:val="0"/>
          <w:marRight w:val="0"/>
          <w:marTop w:val="0"/>
          <w:marBottom w:val="0"/>
          <w:divBdr>
            <w:top w:val="none" w:sz="0" w:space="0" w:color="auto"/>
            <w:left w:val="none" w:sz="0" w:space="0" w:color="auto"/>
            <w:bottom w:val="none" w:sz="0" w:space="0" w:color="auto"/>
            <w:right w:val="none" w:sz="0" w:space="0" w:color="auto"/>
          </w:divBdr>
        </w:div>
      </w:divsChild>
    </w:div>
    <w:div w:id="934941789">
      <w:bodyDiv w:val="1"/>
      <w:marLeft w:val="0"/>
      <w:marRight w:val="0"/>
      <w:marTop w:val="0"/>
      <w:marBottom w:val="0"/>
      <w:divBdr>
        <w:top w:val="none" w:sz="0" w:space="0" w:color="auto"/>
        <w:left w:val="none" w:sz="0" w:space="0" w:color="auto"/>
        <w:bottom w:val="none" w:sz="0" w:space="0" w:color="auto"/>
        <w:right w:val="none" w:sz="0" w:space="0" w:color="auto"/>
      </w:divBdr>
    </w:div>
    <w:div w:id="976380233">
      <w:bodyDiv w:val="1"/>
      <w:marLeft w:val="0"/>
      <w:marRight w:val="0"/>
      <w:marTop w:val="0"/>
      <w:marBottom w:val="0"/>
      <w:divBdr>
        <w:top w:val="none" w:sz="0" w:space="0" w:color="auto"/>
        <w:left w:val="none" w:sz="0" w:space="0" w:color="auto"/>
        <w:bottom w:val="none" w:sz="0" w:space="0" w:color="auto"/>
        <w:right w:val="none" w:sz="0" w:space="0" w:color="auto"/>
      </w:divBdr>
      <w:divsChild>
        <w:div w:id="1114444981">
          <w:marLeft w:val="0"/>
          <w:marRight w:val="0"/>
          <w:marTop w:val="0"/>
          <w:marBottom w:val="0"/>
          <w:divBdr>
            <w:top w:val="none" w:sz="0" w:space="0" w:color="auto"/>
            <w:left w:val="none" w:sz="0" w:space="0" w:color="auto"/>
            <w:bottom w:val="none" w:sz="0" w:space="0" w:color="auto"/>
            <w:right w:val="none" w:sz="0" w:space="0" w:color="auto"/>
          </w:divBdr>
          <w:divsChild>
            <w:div w:id="1619871612">
              <w:marLeft w:val="0"/>
              <w:marRight w:val="0"/>
              <w:marTop w:val="0"/>
              <w:marBottom w:val="0"/>
              <w:divBdr>
                <w:top w:val="none" w:sz="0" w:space="0" w:color="auto"/>
                <w:left w:val="none" w:sz="0" w:space="0" w:color="auto"/>
                <w:bottom w:val="none" w:sz="0" w:space="0" w:color="auto"/>
                <w:right w:val="none" w:sz="0" w:space="0" w:color="auto"/>
              </w:divBdr>
            </w:div>
            <w:div w:id="150681929">
              <w:marLeft w:val="0"/>
              <w:marRight w:val="0"/>
              <w:marTop w:val="0"/>
              <w:marBottom w:val="0"/>
              <w:divBdr>
                <w:top w:val="none" w:sz="0" w:space="0" w:color="auto"/>
                <w:left w:val="none" w:sz="0" w:space="0" w:color="auto"/>
                <w:bottom w:val="none" w:sz="0" w:space="0" w:color="auto"/>
                <w:right w:val="none" w:sz="0" w:space="0" w:color="auto"/>
              </w:divBdr>
            </w:div>
          </w:divsChild>
        </w:div>
        <w:div w:id="303586407">
          <w:marLeft w:val="0"/>
          <w:marRight w:val="0"/>
          <w:marTop w:val="0"/>
          <w:marBottom w:val="0"/>
          <w:divBdr>
            <w:top w:val="none" w:sz="0" w:space="0" w:color="auto"/>
            <w:left w:val="none" w:sz="0" w:space="0" w:color="auto"/>
            <w:bottom w:val="none" w:sz="0" w:space="0" w:color="auto"/>
            <w:right w:val="none" w:sz="0" w:space="0" w:color="auto"/>
          </w:divBdr>
          <w:divsChild>
            <w:div w:id="1723822053">
              <w:marLeft w:val="0"/>
              <w:marRight w:val="0"/>
              <w:marTop w:val="0"/>
              <w:marBottom w:val="0"/>
              <w:divBdr>
                <w:top w:val="none" w:sz="0" w:space="0" w:color="auto"/>
                <w:left w:val="none" w:sz="0" w:space="0" w:color="auto"/>
                <w:bottom w:val="none" w:sz="0" w:space="0" w:color="auto"/>
                <w:right w:val="none" w:sz="0" w:space="0" w:color="auto"/>
              </w:divBdr>
            </w:div>
            <w:div w:id="1378123328">
              <w:marLeft w:val="0"/>
              <w:marRight w:val="0"/>
              <w:marTop w:val="0"/>
              <w:marBottom w:val="0"/>
              <w:divBdr>
                <w:top w:val="none" w:sz="0" w:space="0" w:color="auto"/>
                <w:left w:val="none" w:sz="0" w:space="0" w:color="auto"/>
                <w:bottom w:val="none" w:sz="0" w:space="0" w:color="auto"/>
                <w:right w:val="none" w:sz="0" w:space="0" w:color="auto"/>
              </w:divBdr>
            </w:div>
            <w:div w:id="451825281">
              <w:marLeft w:val="0"/>
              <w:marRight w:val="0"/>
              <w:marTop w:val="0"/>
              <w:marBottom w:val="0"/>
              <w:divBdr>
                <w:top w:val="none" w:sz="0" w:space="0" w:color="auto"/>
                <w:left w:val="none" w:sz="0" w:space="0" w:color="auto"/>
                <w:bottom w:val="none" w:sz="0" w:space="0" w:color="auto"/>
                <w:right w:val="none" w:sz="0" w:space="0" w:color="auto"/>
              </w:divBdr>
            </w:div>
            <w:div w:id="1015615109">
              <w:marLeft w:val="0"/>
              <w:marRight w:val="0"/>
              <w:marTop w:val="0"/>
              <w:marBottom w:val="0"/>
              <w:divBdr>
                <w:top w:val="none" w:sz="0" w:space="0" w:color="auto"/>
                <w:left w:val="none" w:sz="0" w:space="0" w:color="auto"/>
                <w:bottom w:val="none" w:sz="0" w:space="0" w:color="auto"/>
                <w:right w:val="none" w:sz="0" w:space="0" w:color="auto"/>
              </w:divBdr>
            </w:div>
            <w:div w:id="478888796">
              <w:marLeft w:val="0"/>
              <w:marRight w:val="0"/>
              <w:marTop w:val="0"/>
              <w:marBottom w:val="0"/>
              <w:divBdr>
                <w:top w:val="none" w:sz="0" w:space="0" w:color="auto"/>
                <w:left w:val="none" w:sz="0" w:space="0" w:color="auto"/>
                <w:bottom w:val="none" w:sz="0" w:space="0" w:color="auto"/>
                <w:right w:val="none" w:sz="0" w:space="0" w:color="auto"/>
              </w:divBdr>
            </w:div>
            <w:div w:id="1056508148">
              <w:marLeft w:val="0"/>
              <w:marRight w:val="0"/>
              <w:marTop w:val="0"/>
              <w:marBottom w:val="0"/>
              <w:divBdr>
                <w:top w:val="none" w:sz="0" w:space="0" w:color="auto"/>
                <w:left w:val="none" w:sz="0" w:space="0" w:color="auto"/>
                <w:bottom w:val="none" w:sz="0" w:space="0" w:color="auto"/>
                <w:right w:val="none" w:sz="0" w:space="0" w:color="auto"/>
              </w:divBdr>
            </w:div>
            <w:div w:id="1957330736">
              <w:marLeft w:val="0"/>
              <w:marRight w:val="0"/>
              <w:marTop w:val="0"/>
              <w:marBottom w:val="0"/>
              <w:divBdr>
                <w:top w:val="none" w:sz="0" w:space="0" w:color="auto"/>
                <w:left w:val="none" w:sz="0" w:space="0" w:color="auto"/>
                <w:bottom w:val="none" w:sz="0" w:space="0" w:color="auto"/>
                <w:right w:val="none" w:sz="0" w:space="0" w:color="auto"/>
              </w:divBdr>
            </w:div>
          </w:divsChild>
        </w:div>
        <w:div w:id="444081644">
          <w:marLeft w:val="0"/>
          <w:marRight w:val="0"/>
          <w:marTop w:val="0"/>
          <w:marBottom w:val="0"/>
          <w:divBdr>
            <w:top w:val="none" w:sz="0" w:space="0" w:color="auto"/>
            <w:left w:val="none" w:sz="0" w:space="0" w:color="auto"/>
            <w:bottom w:val="none" w:sz="0" w:space="0" w:color="auto"/>
            <w:right w:val="none" w:sz="0" w:space="0" w:color="auto"/>
          </w:divBdr>
          <w:divsChild>
            <w:div w:id="2079203114">
              <w:marLeft w:val="0"/>
              <w:marRight w:val="0"/>
              <w:marTop w:val="0"/>
              <w:marBottom w:val="0"/>
              <w:divBdr>
                <w:top w:val="none" w:sz="0" w:space="0" w:color="auto"/>
                <w:left w:val="none" w:sz="0" w:space="0" w:color="auto"/>
                <w:bottom w:val="none" w:sz="0" w:space="0" w:color="auto"/>
                <w:right w:val="none" w:sz="0" w:space="0" w:color="auto"/>
              </w:divBdr>
            </w:div>
            <w:div w:id="292441936">
              <w:marLeft w:val="0"/>
              <w:marRight w:val="0"/>
              <w:marTop w:val="0"/>
              <w:marBottom w:val="0"/>
              <w:divBdr>
                <w:top w:val="none" w:sz="0" w:space="0" w:color="auto"/>
                <w:left w:val="none" w:sz="0" w:space="0" w:color="auto"/>
                <w:bottom w:val="none" w:sz="0" w:space="0" w:color="auto"/>
                <w:right w:val="none" w:sz="0" w:space="0" w:color="auto"/>
              </w:divBdr>
            </w:div>
            <w:div w:id="1494225291">
              <w:marLeft w:val="0"/>
              <w:marRight w:val="0"/>
              <w:marTop w:val="0"/>
              <w:marBottom w:val="0"/>
              <w:divBdr>
                <w:top w:val="none" w:sz="0" w:space="0" w:color="auto"/>
                <w:left w:val="none" w:sz="0" w:space="0" w:color="auto"/>
                <w:bottom w:val="none" w:sz="0" w:space="0" w:color="auto"/>
                <w:right w:val="none" w:sz="0" w:space="0" w:color="auto"/>
              </w:divBdr>
            </w:div>
            <w:div w:id="91899979">
              <w:marLeft w:val="0"/>
              <w:marRight w:val="0"/>
              <w:marTop w:val="0"/>
              <w:marBottom w:val="0"/>
              <w:divBdr>
                <w:top w:val="none" w:sz="0" w:space="0" w:color="auto"/>
                <w:left w:val="none" w:sz="0" w:space="0" w:color="auto"/>
                <w:bottom w:val="none" w:sz="0" w:space="0" w:color="auto"/>
                <w:right w:val="none" w:sz="0" w:space="0" w:color="auto"/>
              </w:divBdr>
            </w:div>
            <w:div w:id="130438367">
              <w:marLeft w:val="0"/>
              <w:marRight w:val="0"/>
              <w:marTop w:val="0"/>
              <w:marBottom w:val="0"/>
              <w:divBdr>
                <w:top w:val="none" w:sz="0" w:space="0" w:color="auto"/>
                <w:left w:val="none" w:sz="0" w:space="0" w:color="auto"/>
                <w:bottom w:val="none" w:sz="0" w:space="0" w:color="auto"/>
                <w:right w:val="none" w:sz="0" w:space="0" w:color="auto"/>
              </w:divBdr>
            </w:div>
          </w:divsChild>
        </w:div>
        <w:div w:id="833649061">
          <w:marLeft w:val="0"/>
          <w:marRight w:val="0"/>
          <w:marTop w:val="0"/>
          <w:marBottom w:val="0"/>
          <w:divBdr>
            <w:top w:val="none" w:sz="0" w:space="0" w:color="auto"/>
            <w:left w:val="none" w:sz="0" w:space="0" w:color="auto"/>
            <w:bottom w:val="none" w:sz="0" w:space="0" w:color="auto"/>
            <w:right w:val="none" w:sz="0" w:space="0" w:color="auto"/>
          </w:divBdr>
          <w:divsChild>
            <w:div w:id="1366294688">
              <w:marLeft w:val="0"/>
              <w:marRight w:val="0"/>
              <w:marTop w:val="0"/>
              <w:marBottom w:val="0"/>
              <w:divBdr>
                <w:top w:val="none" w:sz="0" w:space="0" w:color="auto"/>
                <w:left w:val="none" w:sz="0" w:space="0" w:color="auto"/>
                <w:bottom w:val="none" w:sz="0" w:space="0" w:color="auto"/>
                <w:right w:val="none" w:sz="0" w:space="0" w:color="auto"/>
              </w:divBdr>
            </w:div>
            <w:div w:id="89594626">
              <w:marLeft w:val="0"/>
              <w:marRight w:val="0"/>
              <w:marTop w:val="0"/>
              <w:marBottom w:val="0"/>
              <w:divBdr>
                <w:top w:val="none" w:sz="0" w:space="0" w:color="auto"/>
                <w:left w:val="none" w:sz="0" w:space="0" w:color="auto"/>
                <w:bottom w:val="none" w:sz="0" w:space="0" w:color="auto"/>
                <w:right w:val="none" w:sz="0" w:space="0" w:color="auto"/>
              </w:divBdr>
            </w:div>
          </w:divsChild>
        </w:div>
        <w:div w:id="1997413790">
          <w:marLeft w:val="0"/>
          <w:marRight w:val="0"/>
          <w:marTop w:val="0"/>
          <w:marBottom w:val="0"/>
          <w:divBdr>
            <w:top w:val="none" w:sz="0" w:space="0" w:color="auto"/>
            <w:left w:val="none" w:sz="0" w:space="0" w:color="auto"/>
            <w:bottom w:val="none" w:sz="0" w:space="0" w:color="auto"/>
            <w:right w:val="none" w:sz="0" w:space="0" w:color="auto"/>
          </w:divBdr>
          <w:divsChild>
            <w:div w:id="1230724858">
              <w:marLeft w:val="0"/>
              <w:marRight w:val="0"/>
              <w:marTop w:val="0"/>
              <w:marBottom w:val="0"/>
              <w:divBdr>
                <w:top w:val="none" w:sz="0" w:space="0" w:color="auto"/>
                <w:left w:val="none" w:sz="0" w:space="0" w:color="auto"/>
                <w:bottom w:val="none" w:sz="0" w:space="0" w:color="auto"/>
                <w:right w:val="none" w:sz="0" w:space="0" w:color="auto"/>
              </w:divBdr>
            </w:div>
            <w:div w:id="1265069874">
              <w:marLeft w:val="0"/>
              <w:marRight w:val="0"/>
              <w:marTop w:val="0"/>
              <w:marBottom w:val="0"/>
              <w:divBdr>
                <w:top w:val="none" w:sz="0" w:space="0" w:color="auto"/>
                <w:left w:val="none" w:sz="0" w:space="0" w:color="auto"/>
                <w:bottom w:val="none" w:sz="0" w:space="0" w:color="auto"/>
                <w:right w:val="none" w:sz="0" w:space="0" w:color="auto"/>
              </w:divBdr>
            </w:div>
            <w:div w:id="1856648349">
              <w:marLeft w:val="0"/>
              <w:marRight w:val="0"/>
              <w:marTop w:val="0"/>
              <w:marBottom w:val="0"/>
              <w:divBdr>
                <w:top w:val="none" w:sz="0" w:space="0" w:color="auto"/>
                <w:left w:val="none" w:sz="0" w:space="0" w:color="auto"/>
                <w:bottom w:val="none" w:sz="0" w:space="0" w:color="auto"/>
                <w:right w:val="none" w:sz="0" w:space="0" w:color="auto"/>
              </w:divBdr>
            </w:div>
            <w:div w:id="364672034">
              <w:marLeft w:val="0"/>
              <w:marRight w:val="0"/>
              <w:marTop w:val="0"/>
              <w:marBottom w:val="0"/>
              <w:divBdr>
                <w:top w:val="none" w:sz="0" w:space="0" w:color="auto"/>
                <w:left w:val="none" w:sz="0" w:space="0" w:color="auto"/>
                <w:bottom w:val="none" w:sz="0" w:space="0" w:color="auto"/>
                <w:right w:val="none" w:sz="0" w:space="0" w:color="auto"/>
              </w:divBdr>
            </w:div>
            <w:div w:id="1624263797">
              <w:marLeft w:val="0"/>
              <w:marRight w:val="0"/>
              <w:marTop w:val="0"/>
              <w:marBottom w:val="0"/>
              <w:divBdr>
                <w:top w:val="none" w:sz="0" w:space="0" w:color="auto"/>
                <w:left w:val="none" w:sz="0" w:space="0" w:color="auto"/>
                <w:bottom w:val="none" w:sz="0" w:space="0" w:color="auto"/>
                <w:right w:val="none" w:sz="0" w:space="0" w:color="auto"/>
              </w:divBdr>
            </w:div>
            <w:div w:id="1219249013">
              <w:marLeft w:val="0"/>
              <w:marRight w:val="0"/>
              <w:marTop w:val="0"/>
              <w:marBottom w:val="0"/>
              <w:divBdr>
                <w:top w:val="none" w:sz="0" w:space="0" w:color="auto"/>
                <w:left w:val="none" w:sz="0" w:space="0" w:color="auto"/>
                <w:bottom w:val="none" w:sz="0" w:space="0" w:color="auto"/>
                <w:right w:val="none" w:sz="0" w:space="0" w:color="auto"/>
              </w:divBdr>
            </w:div>
          </w:divsChild>
        </w:div>
        <w:div w:id="1347487790">
          <w:marLeft w:val="0"/>
          <w:marRight w:val="0"/>
          <w:marTop w:val="0"/>
          <w:marBottom w:val="0"/>
          <w:divBdr>
            <w:top w:val="none" w:sz="0" w:space="0" w:color="auto"/>
            <w:left w:val="none" w:sz="0" w:space="0" w:color="auto"/>
            <w:bottom w:val="none" w:sz="0" w:space="0" w:color="auto"/>
            <w:right w:val="none" w:sz="0" w:space="0" w:color="auto"/>
          </w:divBdr>
          <w:divsChild>
            <w:div w:id="1455559198">
              <w:marLeft w:val="0"/>
              <w:marRight w:val="0"/>
              <w:marTop w:val="0"/>
              <w:marBottom w:val="0"/>
              <w:divBdr>
                <w:top w:val="none" w:sz="0" w:space="0" w:color="auto"/>
                <w:left w:val="none" w:sz="0" w:space="0" w:color="auto"/>
                <w:bottom w:val="none" w:sz="0" w:space="0" w:color="auto"/>
                <w:right w:val="none" w:sz="0" w:space="0" w:color="auto"/>
              </w:divBdr>
            </w:div>
            <w:div w:id="602496646">
              <w:marLeft w:val="0"/>
              <w:marRight w:val="0"/>
              <w:marTop w:val="0"/>
              <w:marBottom w:val="0"/>
              <w:divBdr>
                <w:top w:val="none" w:sz="0" w:space="0" w:color="auto"/>
                <w:left w:val="none" w:sz="0" w:space="0" w:color="auto"/>
                <w:bottom w:val="none" w:sz="0" w:space="0" w:color="auto"/>
                <w:right w:val="none" w:sz="0" w:space="0" w:color="auto"/>
              </w:divBdr>
            </w:div>
            <w:div w:id="1342314848">
              <w:marLeft w:val="0"/>
              <w:marRight w:val="0"/>
              <w:marTop w:val="0"/>
              <w:marBottom w:val="0"/>
              <w:divBdr>
                <w:top w:val="none" w:sz="0" w:space="0" w:color="auto"/>
                <w:left w:val="none" w:sz="0" w:space="0" w:color="auto"/>
                <w:bottom w:val="none" w:sz="0" w:space="0" w:color="auto"/>
                <w:right w:val="none" w:sz="0" w:space="0" w:color="auto"/>
              </w:divBdr>
            </w:div>
            <w:div w:id="2753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8576">
      <w:bodyDiv w:val="1"/>
      <w:marLeft w:val="0"/>
      <w:marRight w:val="0"/>
      <w:marTop w:val="0"/>
      <w:marBottom w:val="0"/>
      <w:divBdr>
        <w:top w:val="none" w:sz="0" w:space="0" w:color="auto"/>
        <w:left w:val="none" w:sz="0" w:space="0" w:color="auto"/>
        <w:bottom w:val="none" w:sz="0" w:space="0" w:color="auto"/>
        <w:right w:val="none" w:sz="0" w:space="0" w:color="auto"/>
      </w:divBdr>
    </w:div>
    <w:div w:id="1222063500">
      <w:bodyDiv w:val="1"/>
      <w:marLeft w:val="0"/>
      <w:marRight w:val="0"/>
      <w:marTop w:val="0"/>
      <w:marBottom w:val="0"/>
      <w:divBdr>
        <w:top w:val="none" w:sz="0" w:space="0" w:color="auto"/>
        <w:left w:val="none" w:sz="0" w:space="0" w:color="auto"/>
        <w:bottom w:val="none" w:sz="0" w:space="0" w:color="auto"/>
        <w:right w:val="none" w:sz="0" w:space="0" w:color="auto"/>
      </w:divBdr>
    </w:div>
    <w:div w:id="1316761016">
      <w:bodyDiv w:val="1"/>
      <w:marLeft w:val="0"/>
      <w:marRight w:val="0"/>
      <w:marTop w:val="0"/>
      <w:marBottom w:val="0"/>
      <w:divBdr>
        <w:top w:val="none" w:sz="0" w:space="0" w:color="auto"/>
        <w:left w:val="none" w:sz="0" w:space="0" w:color="auto"/>
        <w:bottom w:val="none" w:sz="0" w:space="0" w:color="auto"/>
        <w:right w:val="none" w:sz="0" w:space="0" w:color="auto"/>
      </w:divBdr>
    </w:div>
    <w:div w:id="1427380809">
      <w:bodyDiv w:val="1"/>
      <w:marLeft w:val="0"/>
      <w:marRight w:val="0"/>
      <w:marTop w:val="0"/>
      <w:marBottom w:val="0"/>
      <w:divBdr>
        <w:top w:val="none" w:sz="0" w:space="0" w:color="auto"/>
        <w:left w:val="none" w:sz="0" w:space="0" w:color="auto"/>
        <w:bottom w:val="none" w:sz="0" w:space="0" w:color="auto"/>
        <w:right w:val="none" w:sz="0" w:space="0" w:color="auto"/>
      </w:divBdr>
    </w:div>
    <w:div w:id="1477381364">
      <w:bodyDiv w:val="1"/>
      <w:marLeft w:val="0"/>
      <w:marRight w:val="0"/>
      <w:marTop w:val="0"/>
      <w:marBottom w:val="0"/>
      <w:divBdr>
        <w:top w:val="none" w:sz="0" w:space="0" w:color="auto"/>
        <w:left w:val="none" w:sz="0" w:space="0" w:color="auto"/>
        <w:bottom w:val="none" w:sz="0" w:space="0" w:color="auto"/>
        <w:right w:val="none" w:sz="0" w:space="0" w:color="auto"/>
      </w:divBdr>
    </w:div>
    <w:div w:id="1518470252">
      <w:bodyDiv w:val="1"/>
      <w:marLeft w:val="0"/>
      <w:marRight w:val="0"/>
      <w:marTop w:val="0"/>
      <w:marBottom w:val="0"/>
      <w:divBdr>
        <w:top w:val="none" w:sz="0" w:space="0" w:color="auto"/>
        <w:left w:val="none" w:sz="0" w:space="0" w:color="auto"/>
        <w:bottom w:val="none" w:sz="0" w:space="0" w:color="auto"/>
        <w:right w:val="none" w:sz="0" w:space="0" w:color="auto"/>
      </w:divBdr>
    </w:div>
    <w:div w:id="2096852009">
      <w:bodyDiv w:val="1"/>
      <w:marLeft w:val="0"/>
      <w:marRight w:val="0"/>
      <w:marTop w:val="0"/>
      <w:marBottom w:val="0"/>
      <w:divBdr>
        <w:top w:val="none" w:sz="0" w:space="0" w:color="auto"/>
        <w:left w:val="none" w:sz="0" w:space="0" w:color="auto"/>
        <w:bottom w:val="none" w:sz="0" w:space="0" w:color="auto"/>
        <w:right w:val="none" w:sz="0" w:space="0" w:color="auto"/>
      </w:divBdr>
    </w:div>
    <w:div w:id="20983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jolt-capital.com/es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c27d87-a6d3-44c8-9d1a-37b59b2e60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6C32D6BFCE584CAAC8A9A8CCA8023F" ma:contentTypeVersion="6" ma:contentTypeDescription="Create a new document." ma:contentTypeScope="" ma:versionID="d76ae82dc2bf3b03606e531eac48e6a7">
  <xsd:schema xmlns:xsd="http://www.w3.org/2001/XMLSchema" xmlns:xs="http://www.w3.org/2001/XMLSchema" xmlns:p="http://schemas.microsoft.com/office/2006/metadata/properties" xmlns:ns3="c2c27d87-a6d3-44c8-9d1a-37b59b2e600e" xmlns:ns4="b449e435-a80d-4cfb-a4b8-c9dfd65a8c9c" targetNamespace="http://schemas.microsoft.com/office/2006/metadata/properties" ma:root="true" ma:fieldsID="c7ff51f5677ec37ad5e6fa4ca90843fb" ns3:_="" ns4:_="">
    <xsd:import namespace="c2c27d87-a6d3-44c8-9d1a-37b59b2e600e"/>
    <xsd:import namespace="b449e435-a80d-4cfb-a4b8-c9dfd65a8c9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27d87-a6d3-44c8-9d1a-37b59b2e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49e435-a80d-4cfb-a4b8-c9dfd65a8c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F694-EA2D-4245-8717-5349F62ABBC3}">
  <ds:schemaRefs>
    <ds:schemaRef ds:uri="http://schemas.microsoft.com/office/2006/metadata/properties"/>
    <ds:schemaRef ds:uri="http://schemas.microsoft.com/office/infopath/2007/PartnerControls"/>
    <ds:schemaRef ds:uri="c2c27d87-a6d3-44c8-9d1a-37b59b2e600e"/>
  </ds:schemaRefs>
</ds:datastoreItem>
</file>

<file path=customXml/itemProps2.xml><?xml version="1.0" encoding="utf-8"?>
<ds:datastoreItem xmlns:ds="http://schemas.openxmlformats.org/officeDocument/2006/customXml" ds:itemID="{49905D2B-9E7E-4FD3-A65F-9325CFBAABD8}">
  <ds:schemaRefs>
    <ds:schemaRef ds:uri="http://schemas.microsoft.com/sharepoint/v3/contenttype/forms"/>
  </ds:schemaRefs>
</ds:datastoreItem>
</file>

<file path=customXml/itemProps3.xml><?xml version="1.0" encoding="utf-8"?>
<ds:datastoreItem xmlns:ds="http://schemas.openxmlformats.org/officeDocument/2006/customXml" ds:itemID="{21A48E17-8E2B-40E4-BD89-0D375174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27d87-a6d3-44c8-9d1a-37b59b2e600e"/>
    <ds:schemaRef ds:uri="b449e435-a80d-4cfb-a4b8-c9dfd65a8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26083-E322-4DD8-9F70-66564AB8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8812</Words>
  <Characters>50230</Characters>
  <Application>Microsoft Office Word</Application>
  <DocSecurity>0</DocSecurity>
  <Lines>418</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58925</CharactersWithSpaces>
  <SharedDoc>false</SharedDoc>
  <HLinks>
    <vt:vector size="54" baseType="variant">
      <vt:variant>
        <vt:i4>1376310</vt:i4>
      </vt:variant>
      <vt:variant>
        <vt:i4>50</vt:i4>
      </vt:variant>
      <vt:variant>
        <vt:i4>0</vt:i4>
      </vt:variant>
      <vt:variant>
        <vt:i4>5</vt:i4>
      </vt:variant>
      <vt:variant>
        <vt:lpwstr/>
      </vt:variant>
      <vt:variant>
        <vt:lpwstr>_Toc131676114</vt:lpwstr>
      </vt:variant>
      <vt:variant>
        <vt:i4>1376310</vt:i4>
      </vt:variant>
      <vt:variant>
        <vt:i4>44</vt:i4>
      </vt:variant>
      <vt:variant>
        <vt:i4>0</vt:i4>
      </vt:variant>
      <vt:variant>
        <vt:i4>5</vt:i4>
      </vt:variant>
      <vt:variant>
        <vt:lpwstr/>
      </vt:variant>
      <vt:variant>
        <vt:lpwstr>_Toc131676113</vt:lpwstr>
      </vt:variant>
      <vt:variant>
        <vt:i4>1376310</vt:i4>
      </vt:variant>
      <vt:variant>
        <vt:i4>38</vt:i4>
      </vt:variant>
      <vt:variant>
        <vt:i4>0</vt:i4>
      </vt:variant>
      <vt:variant>
        <vt:i4>5</vt:i4>
      </vt:variant>
      <vt:variant>
        <vt:lpwstr/>
      </vt:variant>
      <vt:variant>
        <vt:lpwstr>_Toc131676112</vt:lpwstr>
      </vt:variant>
      <vt:variant>
        <vt:i4>1376310</vt:i4>
      </vt:variant>
      <vt:variant>
        <vt:i4>32</vt:i4>
      </vt:variant>
      <vt:variant>
        <vt:i4>0</vt:i4>
      </vt:variant>
      <vt:variant>
        <vt:i4>5</vt:i4>
      </vt:variant>
      <vt:variant>
        <vt:lpwstr/>
      </vt:variant>
      <vt:variant>
        <vt:lpwstr>_Toc131676111</vt:lpwstr>
      </vt:variant>
      <vt:variant>
        <vt:i4>1376310</vt:i4>
      </vt:variant>
      <vt:variant>
        <vt:i4>26</vt:i4>
      </vt:variant>
      <vt:variant>
        <vt:i4>0</vt:i4>
      </vt:variant>
      <vt:variant>
        <vt:i4>5</vt:i4>
      </vt:variant>
      <vt:variant>
        <vt:lpwstr/>
      </vt:variant>
      <vt:variant>
        <vt:lpwstr>_Toc131676110</vt:lpwstr>
      </vt:variant>
      <vt:variant>
        <vt:i4>1310774</vt:i4>
      </vt:variant>
      <vt:variant>
        <vt:i4>20</vt:i4>
      </vt:variant>
      <vt:variant>
        <vt:i4>0</vt:i4>
      </vt:variant>
      <vt:variant>
        <vt:i4>5</vt:i4>
      </vt:variant>
      <vt:variant>
        <vt:lpwstr/>
      </vt:variant>
      <vt:variant>
        <vt:lpwstr>_Toc131676109</vt:lpwstr>
      </vt:variant>
      <vt:variant>
        <vt:i4>1310774</vt:i4>
      </vt:variant>
      <vt:variant>
        <vt:i4>14</vt:i4>
      </vt:variant>
      <vt:variant>
        <vt:i4>0</vt:i4>
      </vt:variant>
      <vt:variant>
        <vt:i4>5</vt:i4>
      </vt:variant>
      <vt:variant>
        <vt:lpwstr/>
      </vt:variant>
      <vt:variant>
        <vt:lpwstr>_Toc131676108</vt:lpwstr>
      </vt:variant>
      <vt:variant>
        <vt:i4>1310774</vt:i4>
      </vt:variant>
      <vt:variant>
        <vt:i4>8</vt:i4>
      </vt:variant>
      <vt:variant>
        <vt:i4>0</vt:i4>
      </vt:variant>
      <vt:variant>
        <vt:i4>5</vt:i4>
      </vt:variant>
      <vt:variant>
        <vt:lpwstr/>
      </vt:variant>
      <vt:variant>
        <vt:lpwstr>_Toc131676107</vt:lpwstr>
      </vt:variant>
      <vt:variant>
        <vt:i4>1310774</vt:i4>
      </vt:variant>
      <vt:variant>
        <vt:i4>2</vt:i4>
      </vt:variant>
      <vt:variant>
        <vt:i4>0</vt:i4>
      </vt:variant>
      <vt:variant>
        <vt:i4>5</vt:i4>
      </vt:variant>
      <vt:variant>
        <vt:lpwstr/>
      </vt:variant>
      <vt:variant>
        <vt:lpwstr>_Toc131676106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France</dc:creator>
  <cp:keywords/>
  <dc:description/>
  <cp:lastModifiedBy>PwC</cp:lastModifiedBy>
  <cp:revision>12</cp:revision>
  <cp:lastPrinted>2023-04-07T09:42:00Z</cp:lastPrinted>
  <dcterms:created xsi:type="dcterms:W3CDTF">2023-06-27T10:01:00Z</dcterms:created>
  <dcterms:modified xsi:type="dcterms:W3CDTF">2023-06-29T09:48:00Z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0x010100826C32D6BFCE584CAAC8A9A8CCA8023F</vt:lpwstr>
  </property>
</Properties>
</file>