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87B7" w14:textId="547DE9E8" w:rsidR="000736C9" w:rsidRPr="007E201B" w:rsidRDefault="000736C9" w:rsidP="00F064AD">
      <w:pPr>
        <w:jc w:val="center"/>
        <w:rPr>
          <w:rFonts w:cstheme="minorHAnsi"/>
          <w:b/>
          <w:bCs/>
          <w:caps/>
          <w:sz w:val="24"/>
          <w:szCs w:val="24"/>
        </w:rPr>
      </w:pPr>
      <w:r w:rsidRPr="007E201B">
        <w:rPr>
          <w:rFonts w:cstheme="minorHAnsi"/>
          <w:b/>
          <w:bCs/>
          <w:caps/>
          <w:sz w:val="24"/>
          <w:szCs w:val="24"/>
        </w:rPr>
        <w:t>Structure des informations de durabilité du rapport annuel conformément aux dispositions prévues au V de l’article D.533-16-1 du code monétaire et financier pour les organismes ayant moins de 500 millions d'euros de t</w:t>
      </w:r>
      <w:r w:rsidR="00F064AD" w:rsidRPr="00F064AD">
        <w:t xml:space="preserve"> </w:t>
      </w:r>
      <w:r w:rsidRPr="007E201B">
        <w:rPr>
          <w:rFonts w:cstheme="minorHAnsi"/>
          <w:b/>
          <w:bCs/>
          <w:caps/>
          <w:sz w:val="24"/>
          <w:szCs w:val="24"/>
        </w:rPr>
        <w:t>otal de bilan ou d’encours</w:t>
      </w:r>
    </w:p>
    <w:p w14:paraId="4AF2543E" w14:textId="77777777" w:rsidR="000736C9" w:rsidRDefault="000736C9" w:rsidP="000736C9">
      <w:pPr>
        <w:jc w:val="both"/>
        <w:rPr>
          <w:b/>
          <w:bCs/>
        </w:rPr>
      </w:pPr>
    </w:p>
    <w:p w14:paraId="4D96A36B" w14:textId="77777777" w:rsidR="000736C9" w:rsidRPr="007E201B" w:rsidRDefault="000736C9" w:rsidP="007E201B">
      <w:pPr>
        <w:pStyle w:val="Titre1"/>
        <w:rPr>
          <w:u w:val="single"/>
        </w:rPr>
      </w:pPr>
      <w:r w:rsidRPr="007E201B">
        <w:rPr>
          <w:u w:val="single"/>
        </w:rPr>
        <w:t>Démarche générale de l’entité sur la prise en compte des critères environnementaux, sociaux et de qualité de gouvernance</w:t>
      </w:r>
    </w:p>
    <w:p w14:paraId="270811FF" w14:textId="77777777" w:rsidR="000736C9" w:rsidRDefault="000736C9" w:rsidP="007E201B">
      <w:pPr>
        <w:pStyle w:val="Titre2"/>
      </w:pPr>
      <w:r w:rsidRPr="007E201B">
        <w:t>Résumé de la démarche</w:t>
      </w:r>
    </w:p>
    <w:p w14:paraId="6E71A8D7" w14:textId="16942465" w:rsidR="00482FE7" w:rsidRPr="00482FE7" w:rsidRDefault="00482FE7" w:rsidP="007F6FD3">
      <w:pPr>
        <w:spacing w:after="0"/>
        <w:jc w:val="both"/>
      </w:pPr>
      <w:r w:rsidRPr="00482FE7">
        <w:t>Breizh Rebond a développé son propre outil de diagnostic afin de réaliser un bilan des engagements ESG des entreprises dans lesquelles il investit. L’équipe du Fonds l’utilise systématiquement pour mener une diligence ESG en amont de ses investissements dans les sociétés. Cette diligence aboutit à la création d’un rapport comprenant :</w:t>
      </w:r>
    </w:p>
    <w:p w14:paraId="27ED161A" w14:textId="0177A1B0" w:rsidR="00482FE7" w:rsidRPr="00482FE7" w:rsidRDefault="00482FE7" w:rsidP="007F6FD3">
      <w:pPr>
        <w:pStyle w:val="Paragraphedeliste"/>
        <w:numPr>
          <w:ilvl w:val="0"/>
          <w:numId w:val="11"/>
        </w:numPr>
        <w:spacing w:after="0"/>
        <w:jc w:val="both"/>
      </w:pPr>
      <w:r w:rsidRPr="00482FE7">
        <w:t xml:space="preserve">Une note globale et un commentaire écrit sur l’engagement ESG de l’entreprise. </w:t>
      </w:r>
    </w:p>
    <w:p w14:paraId="4D75AF1F" w14:textId="6FE8F6C0" w:rsidR="00482FE7" w:rsidRPr="00482FE7" w:rsidRDefault="00482FE7" w:rsidP="007F6FD3">
      <w:pPr>
        <w:pStyle w:val="Paragraphedeliste"/>
        <w:numPr>
          <w:ilvl w:val="0"/>
          <w:numId w:val="11"/>
        </w:numPr>
        <w:spacing w:after="0"/>
        <w:jc w:val="both"/>
      </w:pPr>
      <w:r w:rsidRPr="00482FE7">
        <w:t xml:space="preserve">Une notation par thématiques (Gouvernance, Environnement, Participation et engagement dans la vie locale, Relations d’affaires et Relations et conditions de travail) avec un commentaire sur l’engagement ESG de l’entreprise pour chacune de ces thématiques. </w:t>
      </w:r>
    </w:p>
    <w:p w14:paraId="36CC23A3" w14:textId="1651AB0C" w:rsidR="00482FE7" w:rsidRPr="00482FE7" w:rsidRDefault="00482FE7" w:rsidP="007F6FD3">
      <w:pPr>
        <w:pStyle w:val="Paragraphedeliste"/>
        <w:numPr>
          <w:ilvl w:val="0"/>
          <w:numId w:val="11"/>
        </w:numPr>
        <w:spacing w:after="0"/>
        <w:jc w:val="both"/>
      </w:pPr>
      <w:r w:rsidRPr="00482FE7">
        <w:t>Un ensemble de recommandations concrètes à mettre en place par l’entreprise dans le but d’améliorer sa démarche ESG.</w:t>
      </w:r>
    </w:p>
    <w:p w14:paraId="552EBFB4" w14:textId="77777777" w:rsidR="00482FE7" w:rsidRPr="00482FE7" w:rsidRDefault="00482FE7" w:rsidP="007F6FD3">
      <w:pPr>
        <w:spacing w:after="0"/>
        <w:jc w:val="both"/>
      </w:pPr>
      <w:r w:rsidRPr="00482FE7">
        <w:t>Ce rapport, de 10 à 15 pages, est ensuite envoyé à l’entreprise dans laquelle Breizh Rebond investit.</w:t>
      </w:r>
    </w:p>
    <w:p w14:paraId="477C6845" w14:textId="0129BBCA" w:rsidR="00482FE7" w:rsidRPr="00482FE7" w:rsidRDefault="00482FE7" w:rsidP="007F6FD3">
      <w:pPr>
        <w:spacing w:after="0"/>
        <w:jc w:val="both"/>
      </w:pPr>
      <w:r w:rsidRPr="00482FE7">
        <w:t>Ensuite, cette diligence est réalisée annuellement afin de suivre l’évolution de l’engagement ESG de l’entreprise et de relever les progrès mais aussi les points à améliorer.</w:t>
      </w:r>
    </w:p>
    <w:p w14:paraId="0AB8F743" w14:textId="77777777" w:rsidR="00482FE7" w:rsidRPr="00482FE7" w:rsidRDefault="00482FE7" w:rsidP="007F6FD3">
      <w:pPr>
        <w:spacing w:after="0"/>
        <w:jc w:val="both"/>
      </w:pPr>
    </w:p>
    <w:p w14:paraId="74F270CC" w14:textId="739F23DB" w:rsidR="00482FE7" w:rsidRDefault="00482FE7" w:rsidP="007F6FD3">
      <w:pPr>
        <w:spacing w:after="0"/>
        <w:jc w:val="both"/>
      </w:pPr>
      <w:r w:rsidRPr="00482FE7">
        <w:t>Une consolidation des notes des sociétés du portefeuille de Breizh Rebond permet un suivi annuel de la part du Fonds. Cette approche permet à la société de gestion de constater l’évolution au fil des années des engagements ESG des entreprises de son portefeuille.</w:t>
      </w:r>
    </w:p>
    <w:p w14:paraId="26A794BB" w14:textId="77777777" w:rsidR="007F6FD3" w:rsidRPr="00482FE7" w:rsidRDefault="007F6FD3" w:rsidP="007F6FD3">
      <w:pPr>
        <w:spacing w:after="0"/>
      </w:pPr>
    </w:p>
    <w:p w14:paraId="171DE1EB" w14:textId="656FC4A9" w:rsidR="00482FE7" w:rsidRPr="007F6FD3" w:rsidRDefault="00482FE7" w:rsidP="007F6FD3">
      <w:pPr>
        <w:spacing w:after="0"/>
        <w:rPr>
          <w:u w:val="single"/>
        </w:rPr>
      </w:pPr>
      <w:r w:rsidRPr="007F6FD3">
        <w:rPr>
          <w:u w:val="single"/>
        </w:rPr>
        <w:t>Description de la méthodologie</w:t>
      </w:r>
    </w:p>
    <w:p w14:paraId="13DE2970" w14:textId="0A8E7B53" w:rsidR="00482FE7" w:rsidRPr="00482FE7" w:rsidRDefault="00482FE7" w:rsidP="007F6FD3">
      <w:pPr>
        <w:spacing w:after="0"/>
      </w:pPr>
      <w:r w:rsidRPr="00482FE7">
        <w:t>La méthodologie de l’outil développée en interne par Breizh Rebond est la suivante :</w:t>
      </w:r>
    </w:p>
    <w:p w14:paraId="6EC9C308" w14:textId="77777777" w:rsidR="007F6FD3" w:rsidRDefault="007F6FD3" w:rsidP="007F6FD3">
      <w:pPr>
        <w:spacing w:after="0"/>
      </w:pPr>
    </w:p>
    <w:p w14:paraId="0CAD39DC" w14:textId="3F710B42" w:rsidR="00482FE7" w:rsidRPr="00482FE7" w:rsidRDefault="00482FE7" w:rsidP="00AB6DF8">
      <w:pPr>
        <w:spacing w:after="0"/>
        <w:jc w:val="both"/>
      </w:pPr>
      <w:r w:rsidRPr="00482FE7">
        <w:t>Huit questionnaires, adaptés au secteur d’activité de l’entreprise, et à son nombre de salariés ont été construits par l’équipe du Fonds. Ces questionnaires sont composés de 80 à 100 questions et sont basés sur 5 grandes thématiques (Gouvernance, Environnement, Participation et engagement dans la vie locale, Relations d’affaires et Relations et conditions de travail).</w:t>
      </w:r>
    </w:p>
    <w:p w14:paraId="6C916DBC" w14:textId="77777777" w:rsidR="00482FE7" w:rsidRPr="00482FE7" w:rsidRDefault="00482FE7" w:rsidP="00AB6DF8">
      <w:pPr>
        <w:spacing w:after="0"/>
        <w:jc w:val="both"/>
      </w:pPr>
    </w:p>
    <w:p w14:paraId="222BA3B5" w14:textId="3334355C" w:rsidR="00482FE7" w:rsidRPr="00482FE7" w:rsidRDefault="00482FE7" w:rsidP="00AB6DF8">
      <w:pPr>
        <w:spacing w:after="0"/>
        <w:jc w:val="both"/>
      </w:pPr>
      <w:r w:rsidRPr="00482FE7">
        <w:t>Le questionnaire est utilisé pour un échange d’environ 2h entre le management de l’entreprise et l’équipe de Breizh Rebond. Aussi, le questionnaire est composé de questions souvent ouvertes permettant au management de s’exprimer librement sur chaque thème abordé.</w:t>
      </w:r>
    </w:p>
    <w:p w14:paraId="7F342B7F" w14:textId="77777777" w:rsidR="00482FE7" w:rsidRPr="00482FE7" w:rsidRDefault="00482FE7" w:rsidP="00AB6DF8">
      <w:pPr>
        <w:spacing w:after="0"/>
        <w:jc w:val="both"/>
      </w:pPr>
    </w:p>
    <w:p w14:paraId="2C62CBCE" w14:textId="72947DC8" w:rsidR="00482FE7" w:rsidRPr="00482FE7" w:rsidRDefault="00482FE7" w:rsidP="00AB6DF8">
      <w:pPr>
        <w:spacing w:after="0"/>
        <w:jc w:val="both"/>
      </w:pPr>
      <w:r w:rsidRPr="00482FE7">
        <w:t>Après cet échange, un rapport de l’engagement ESG de l’entreprise est réalisé en interne. Pour construire ce rapport, l’équipe de Breizh Rebond revient sur les réponses données par l’entreprise, affine les notes et les commentaires puis dresse un bilan de l’engagements RSE de l’entreprise. Ce bilan se matérialise aussi par une note sur chacune des 5 thématiques. Le rapport créé est ensuite partagé avec l’entreprise.</w:t>
      </w:r>
    </w:p>
    <w:p w14:paraId="78636EF8" w14:textId="77777777" w:rsidR="007F6FD3" w:rsidRDefault="007F6FD3" w:rsidP="00AB6DF8">
      <w:pPr>
        <w:spacing w:after="0"/>
        <w:jc w:val="both"/>
      </w:pPr>
    </w:p>
    <w:p w14:paraId="0C107D2D" w14:textId="4D4C04DD" w:rsidR="00482FE7" w:rsidRDefault="00482FE7" w:rsidP="00E92D1C">
      <w:pPr>
        <w:tabs>
          <w:tab w:val="left" w:pos="2127"/>
        </w:tabs>
        <w:spacing w:after="0"/>
        <w:jc w:val="both"/>
      </w:pPr>
      <w:r w:rsidRPr="00482FE7">
        <w:lastRenderedPageBreak/>
        <w:t>Cette diligence est réalisée pour chacune des entreprises dans laquelle le Fonds compte investir. Elle est répétée annuellement afin d’actualiser la note des entreprises en portefeuille.</w:t>
      </w:r>
    </w:p>
    <w:p w14:paraId="7BA71A1B" w14:textId="215319C6" w:rsidR="000736C9" w:rsidRDefault="000736C9" w:rsidP="00482FE7">
      <w:pPr>
        <w:rPr>
          <w:b/>
          <w:bCs/>
          <w:color w:val="3B4250"/>
        </w:rPr>
      </w:pPr>
      <w:r w:rsidRPr="00482FE7">
        <w:rPr>
          <w:b/>
          <w:bCs/>
          <w:color w:val="3B4250"/>
        </w:rPr>
        <w:t>Contenu, fréquence et moyens utilisés pour informer les souscripteurs, affiliés, cotisants, allocataires ou clients sur les critères relatifs aux objectifs ESG pris en compte dans la politique et la stratégie d’investissement</w:t>
      </w:r>
    </w:p>
    <w:p w14:paraId="1B1EA195" w14:textId="77777777" w:rsidR="00B96898" w:rsidRDefault="342F4160" w:rsidP="00B96898">
      <w:pPr>
        <w:spacing w:after="0"/>
        <w:contextualSpacing/>
        <w:rPr>
          <w:rFonts w:eastAsiaTheme="minorEastAsia"/>
        </w:rPr>
      </w:pPr>
      <w:r w:rsidRPr="3FA743B6">
        <w:rPr>
          <w:rFonts w:eastAsiaTheme="minorEastAsia"/>
        </w:rPr>
        <w:t xml:space="preserve">Breizh </w:t>
      </w:r>
      <w:r w:rsidRPr="45ABB406">
        <w:rPr>
          <w:rFonts w:eastAsiaTheme="minorEastAsia"/>
        </w:rPr>
        <w:t xml:space="preserve">Rebond </w:t>
      </w:r>
      <w:r w:rsidRPr="08ACA3D6">
        <w:rPr>
          <w:rFonts w:eastAsiaTheme="minorEastAsia"/>
        </w:rPr>
        <w:t>rédige un</w:t>
      </w:r>
      <w:r w:rsidRPr="3E4A1150">
        <w:rPr>
          <w:rFonts w:eastAsiaTheme="minorEastAsia"/>
        </w:rPr>
        <w:t xml:space="preserve"> rapport trimestriel</w:t>
      </w:r>
      <w:r w:rsidRPr="761EE624">
        <w:rPr>
          <w:rFonts w:eastAsiaTheme="minorEastAsia"/>
        </w:rPr>
        <w:t xml:space="preserve"> </w:t>
      </w:r>
      <w:r w:rsidRPr="37C993FA">
        <w:rPr>
          <w:rFonts w:eastAsiaTheme="minorEastAsia"/>
        </w:rPr>
        <w:t xml:space="preserve">destiné </w:t>
      </w:r>
      <w:r w:rsidR="786BE069" w:rsidRPr="37C993FA">
        <w:rPr>
          <w:rFonts w:eastAsiaTheme="minorEastAsia"/>
        </w:rPr>
        <w:t xml:space="preserve">aux </w:t>
      </w:r>
      <w:r w:rsidR="786BE069" w:rsidRPr="50A7A956">
        <w:rPr>
          <w:rFonts w:eastAsiaTheme="minorEastAsia"/>
        </w:rPr>
        <w:t xml:space="preserve">souscripteurs. </w:t>
      </w:r>
    </w:p>
    <w:p w14:paraId="269B9649" w14:textId="77777777" w:rsidR="006F1A94" w:rsidRDefault="006F1A94" w:rsidP="00B96898">
      <w:pPr>
        <w:spacing w:after="0"/>
        <w:contextualSpacing/>
        <w:rPr>
          <w:rFonts w:eastAsiaTheme="minorEastAsia"/>
        </w:rPr>
      </w:pPr>
    </w:p>
    <w:p w14:paraId="355A4BBC" w14:textId="09BE8FAF" w:rsidR="00B96898" w:rsidRDefault="786BE069" w:rsidP="00B96898">
      <w:pPr>
        <w:spacing w:after="0"/>
        <w:contextualSpacing/>
        <w:rPr>
          <w:rFonts w:eastAsiaTheme="minorEastAsia"/>
        </w:rPr>
      </w:pPr>
      <w:r w:rsidRPr="38A8EA50">
        <w:rPr>
          <w:rFonts w:eastAsiaTheme="minorEastAsia"/>
        </w:rPr>
        <w:t xml:space="preserve">Ce rapport </w:t>
      </w:r>
      <w:r w:rsidRPr="14A5AA65">
        <w:rPr>
          <w:rFonts w:eastAsiaTheme="minorEastAsia"/>
        </w:rPr>
        <w:t>intègre</w:t>
      </w:r>
      <w:r w:rsidR="00B96898">
        <w:rPr>
          <w:rFonts w:eastAsiaTheme="minorEastAsia"/>
        </w:rPr>
        <w:t> :</w:t>
      </w:r>
    </w:p>
    <w:p w14:paraId="580C1640" w14:textId="0DFDD4CE" w:rsidR="00864A17" w:rsidRDefault="00B92CF1" w:rsidP="00B96898">
      <w:pPr>
        <w:pStyle w:val="Paragraphedeliste"/>
        <w:numPr>
          <w:ilvl w:val="0"/>
          <w:numId w:val="12"/>
        </w:numPr>
        <w:spacing w:after="0"/>
        <w:rPr>
          <w:rFonts w:eastAsiaTheme="minorEastAsia"/>
        </w:rPr>
      </w:pPr>
      <w:r w:rsidRPr="00B96898">
        <w:rPr>
          <w:rFonts w:eastAsiaTheme="minorEastAsia"/>
        </w:rPr>
        <w:t>Les</w:t>
      </w:r>
      <w:r w:rsidR="005A119F" w:rsidRPr="00B96898">
        <w:rPr>
          <w:rFonts w:eastAsiaTheme="minorEastAsia"/>
        </w:rPr>
        <w:t xml:space="preserve"> </w:t>
      </w:r>
      <w:r w:rsidR="00331D8B" w:rsidRPr="00B96898">
        <w:rPr>
          <w:rFonts w:eastAsiaTheme="minorEastAsia"/>
        </w:rPr>
        <w:t xml:space="preserve">indicateurs de performance </w:t>
      </w:r>
      <w:r w:rsidR="00546225" w:rsidRPr="00B96898">
        <w:rPr>
          <w:rFonts w:eastAsiaTheme="minorEastAsia"/>
        </w:rPr>
        <w:t>RSE</w:t>
      </w:r>
      <w:r w:rsidR="00B96898" w:rsidRPr="00B96898">
        <w:rPr>
          <w:rFonts w:eastAsiaTheme="minorEastAsia"/>
        </w:rPr>
        <w:t xml:space="preserve"> de la société de gestion</w:t>
      </w:r>
      <w:r w:rsidR="00EF2C08" w:rsidRPr="00B96898">
        <w:rPr>
          <w:rFonts w:eastAsiaTheme="minorEastAsia"/>
        </w:rPr>
        <w:t xml:space="preserve"> qui </w:t>
      </w:r>
      <w:r w:rsidR="00C3522F" w:rsidRPr="00B96898">
        <w:rPr>
          <w:rFonts w:eastAsiaTheme="minorEastAsia"/>
        </w:rPr>
        <w:t>permet</w:t>
      </w:r>
      <w:r w:rsidR="00AB531E" w:rsidRPr="00B96898">
        <w:rPr>
          <w:rFonts w:eastAsiaTheme="minorEastAsia"/>
        </w:rPr>
        <w:t xml:space="preserve">tent de </w:t>
      </w:r>
      <w:r w:rsidR="002F1EC3" w:rsidRPr="00B96898">
        <w:rPr>
          <w:rFonts w:eastAsiaTheme="minorEastAsia"/>
        </w:rPr>
        <w:t xml:space="preserve">mesurer ses </w:t>
      </w:r>
      <w:r w:rsidR="00CF1BA7" w:rsidRPr="00B96898">
        <w:rPr>
          <w:rFonts w:eastAsiaTheme="minorEastAsia"/>
        </w:rPr>
        <w:t xml:space="preserve">impacts, se fixer des objectifs </w:t>
      </w:r>
      <w:r w:rsidR="00B96898" w:rsidRPr="00B96898">
        <w:rPr>
          <w:rFonts w:eastAsiaTheme="minorEastAsia"/>
        </w:rPr>
        <w:t>et d’évaluer sa progression</w:t>
      </w:r>
      <w:r w:rsidR="00864B12">
        <w:rPr>
          <w:rFonts w:eastAsiaTheme="minorEastAsia"/>
        </w:rPr>
        <w:t xml:space="preserve"> sur les thématiques </w:t>
      </w:r>
      <w:r w:rsidR="00831FB1">
        <w:rPr>
          <w:rFonts w:eastAsiaTheme="minorEastAsia"/>
        </w:rPr>
        <w:t>de l’environnement,</w:t>
      </w:r>
      <w:r w:rsidR="004A7D58">
        <w:rPr>
          <w:rFonts w:eastAsiaTheme="minorEastAsia"/>
        </w:rPr>
        <w:t xml:space="preserve"> du social et de la gouvernance.</w:t>
      </w:r>
    </w:p>
    <w:p w14:paraId="21FC8356" w14:textId="2FF8587B" w:rsidR="00B96898" w:rsidRDefault="003F5B83" w:rsidP="00CE3520">
      <w:pPr>
        <w:pStyle w:val="Paragraphedeliste"/>
        <w:numPr>
          <w:ilvl w:val="0"/>
          <w:numId w:val="12"/>
        </w:numPr>
        <w:spacing w:after="0"/>
        <w:rPr>
          <w:rFonts w:eastAsiaTheme="minorEastAsia"/>
        </w:rPr>
      </w:pPr>
      <w:r w:rsidRPr="00E7313D">
        <w:rPr>
          <w:rFonts w:eastAsiaTheme="minorEastAsia"/>
        </w:rPr>
        <w:t xml:space="preserve">Le suivi RSE de chacune des participations de Breizh Rebond </w:t>
      </w:r>
      <w:r w:rsidR="00FB3D9C" w:rsidRPr="00E7313D">
        <w:rPr>
          <w:rFonts w:eastAsiaTheme="minorEastAsia"/>
        </w:rPr>
        <w:t xml:space="preserve">mis </w:t>
      </w:r>
      <w:r w:rsidR="00681D8E" w:rsidRPr="00E7313D">
        <w:rPr>
          <w:rFonts w:eastAsiaTheme="minorEastAsia"/>
        </w:rPr>
        <w:t>à jour annuellement</w:t>
      </w:r>
      <w:r w:rsidR="00E7313D" w:rsidRPr="00E7313D">
        <w:rPr>
          <w:rFonts w:eastAsiaTheme="minorEastAsia"/>
        </w:rPr>
        <w:t>.</w:t>
      </w:r>
    </w:p>
    <w:p w14:paraId="02B49E61" w14:textId="61653747" w:rsidR="00157724" w:rsidRPr="00423372" w:rsidRDefault="00075761" w:rsidP="009D15ED">
      <w:pPr>
        <w:pStyle w:val="Paragraphedeliste"/>
        <w:numPr>
          <w:ilvl w:val="0"/>
          <w:numId w:val="12"/>
        </w:numPr>
        <w:spacing w:after="0"/>
        <w:rPr>
          <w:rFonts w:eastAsiaTheme="minorEastAsia"/>
        </w:rPr>
      </w:pPr>
      <w:r w:rsidRPr="00423372">
        <w:rPr>
          <w:rFonts w:eastAsiaTheme="minorEastAsia"/>
        </w:rPr>
        <w:t xml:space="preserve">Une synthèse </w:t>
      </w:r>
      <w:r w:rsidR="00224E24" w:rsidRPr="00423372">
        <w:rPr>
          <w:rFonts w:eastAsiaTheme="minorEastAsia"/>
        </w:rPr>
        <w:t>d</w:t>
      </w:r>
      <w:r w:rsidR="00703981">
        <w:rPr>
          <w:rFonts w:eastAsiaTheme="minorEastAsia"/>
        </w:rPr>
        <w:t>u suivi des performances RSE des partic</w:t>
      </w:r>
      <w:r w:rsidR="00A20F4B">
        <w:rPr>
          <w:rFonts w:eastAsiaTheme="minorEastAsia"/>
        </w:rPr>
        <w:t>i</w:t>
      </w:r>
      <w:r w:rsidR="00703981">
        <w:rPr>
          <w:rFonts w:eastAsiaTheme="minorEastAsia"/>
        </w:rPr>
        <w:t>pations</w:t>
      </w:r>
      <w:r w:rsidR="004A7D58">
        <w:rPr>
          <w:rFonts w:eastAsiaTheme="minorEastAsia"/>
        </w:rPr>
        <w:t>,</w:t>
      </w:r>
      <w:r w:rsidR="00A20F4B">
        <w:rPr>
          <w:rFonts w:eastAsiaTheme="minorEastAsia"/>
        </w:rPr>
        <w:t xml:space="preserve"> détaillée</w:t>
      </w:r>
      <w:r w:rsidR="00DB5FA4">
        <w:rPr>
          <w:rFonts w:eastAsiaTheme="minorEastAsia"/>
        </w:rPr>
        <w:t xml:space="preserve"> par thématique </w:t>
      </w:r>
      <w:r w:rsidR="008209CE">
        <w:rPr>
          <w:rFonts w:eastAsiaTheme="minorEastAsia"/>
        </w:rPr>
        <w:t xml:space="preserve">avec un suivi de l’évolution des </w:t>
      </w:r>
      <w:r w:rsidR="00221DC1">
        <w:rPr>
          <w:rFonts w:eastAsiaTheme="minorEastAsia"/>
        </w:rPr>
        <w:t>indicateurs</w:t>
      </w:r>
      <w:r w:rsidR="008209CE">
        <w:rPr>
          <w:rFonts w:eastAsiaTheme="minorEastAsia"/>
        </w:rPr>
        <w:t>.</w:t>
      </w:r>
    </w:p>
    <w:p w14:paraId="4041E683" w14:textId="6BFC6450" w:rsidR="05F92F76" w:rsidRDefault="05F92F76" w:rsidP="05F92F76">
      <w:pPr>
        <w:rPr>
          <w:rFonts w:eastAsiaTheme="minorEastAsia"/>
        </w:rPr>
      </w:pPr>
    </w:p>
    <w:p w14:paraId="54A18008" w14:textId="77777777" w:rsidR="000736C9" w:rsidRDefault="000736C9" w:rsidP="007E201B">
      <w:pPr>
        <w:pStyle w:val="Titre2"/>
      </w:pPr>
      <w:r w:rsidRPr="007E201B">
        <w:t>Adhésion de l'entité, ou de certains produits financiers, à une charte, un code, une initiative ou obtention d'un label sur la prise en compte de critères ESG ainsi qu'une description sommaire de ceux-ci</w:t>
      </w:r>
    </w:p>
    <w:p w14:paraId="2AC42620" w14:textId="77777777" w:rsidR="00A52EE6" w:rsidRDefault="00A30CAE" w:rsidP="00D336B6">
      <w:pPr>
        <w:spacing w:after="0"/>
        <w:jc w:val="both"/>
      </w:pPr>
      <w:r>
        <w:t xml:space="preserve">Breizh Rebond </w:t>
      </w:r>
      <w:r w:rsidRPr="00B93CF5">
        <w:t>est labellisé</w:t>
      </w:r>
      <w:r w:rsidR="00A52EE6">
        <w:t> :</w:t>
      </w:r>
    </w:p>
    <w:p w14:paraId="13ABB496" w14:textId="77777777" w:rsidR="00D336B6" w:rsidRDefault="00D336B6" w:rsidP="00D336B6">
      <w:pPr>
        <w:spacing w:after="0"/>
        <w:jc w:val="both"/>
      </w:pPr>
    </w:p>
    <w:p w14:paraId="6B0B7054" w14:textId="122BBF35" w:rsidR="00D336B6" w:rsidRDefault="00A30CAE" w:rsidP="00D336B6">
      <w:pPr>
        <w:spacing w:after="0"/>
        <w:jc w:val="both"/>
      </w:pPr>
      <w:r w:rsidRPr="00D336B6">
        <w:rPr>
          <w:b/>
          <w:bCs/>
        </w:rPr>
        <w:t>Produit en Bretagne</w:t>
      </w:r>
      <w:r w:rsidRPr="00B93CF5">
        <w:t>, entreprise associative visant à promouvoir le savoir-faire des entreprises bretonnes et leurs produits</w:t>
      </w:r>
      <w:r w:rsidR="00D336B6">
        <w:t>.</w:t>
      </w:r>
    </w:p>
    <w:p w14:paraId="08CE3703" w14:textId="77777777" w:rsidR="00D336B6" w:rsidRDefault="00D336B6" w:rsidP="00D336B6">
      <w:pPr>
        <w:spacing w:after="0"/>
        <w:jc w:val="both"/>
      </w:pPr>
    </w:p>
    <w:p w14:paraId="0215F793" w14:textId="79A5DC90" w:rsidR="00D60DF7" w:rsidRDefault="00C93FBD" w:rsidP="00D336B6">
      <w:pPr>
        <w:spacing w:after="0"/>
        <w:jc w:val="both"/>
      </w:pPr>
      <w:r w:rsidRPr="00D336B6">
        <w:rPr>
          <w:b/>
          <w:bCs/>
        </w:rPr>
        <w:t>France Relance</w:t>
      </w:r>
      <w:r w:rsidR="00CC66B7">
        <w:t xml:space="preserve">, label basé sur le respect </w:t>
      </w:r>
      <w:r w:rsidR="00F76D4C">
        <w:t>d’un ensemble de critère</w:t>
      </w:r>
      <w:r w:rsidR="00C67001">
        <w:t>s RSE</w:t>
      </w:r>
      <w:r w:rsidR="00F65AE0">
        <w:t xml:space="preserve"> et </w:t>
      </w:r>
      <w:r w:rsidR="00D336B6">
        <w:t>axé sur</w:t>
      </w:r>
      <w:r w:rsidR="00F65AE0">
        <w:t xml:space="preserve"> </w:t>
      </w:r>
      <w:r w:rsidR="000D1DA1">
        <w:t xml:space="preserve">la relance </w:t>
      </w:r>
      <w:r w:rsidR="004A4B19">
        <w:t>de l’</w:t>
      </w:r>
      <w:r w:rsidR="00D336B6">
        <w:t>économie</w:t>
      </w:r>
      <w:r w:rsidR="004A4B19">
        <w:t xml:space="preserve"> </w:t>
      </w:r>
      <w:r w:rsidR="00D336B6">
        <w:t>française.</w:t>
      </w:r>
    </w:p>
    <w:p w14:paraId="7DB114AB" w14:textId="77777777" w:rsidR="00D336B6" w:rsidRDefault="00D336B6" w:rsidP="00D336B6">
      <w:pPr>
        <w:spacing w:after="0"/>
        <w:jc w:val="both"/>
      </w:pPr>
    </w:p>
    <w:p w14:paraId="37589F05" w14:textId="77777777" w:rsidR="000736C9" w:rsidRDefault="000736C9" w:rsidP="007E201B">
      <w:pPr>
        <w:pStyle w:val="Titre1"/>
        <w:rPr>
          <w:u w:val="single"/>
        </w:rPr>
      </w:pPr>
      <w:r w:rsidRPr="007E201B">
        <w:rPr>
          <w:u w:val="single"/>
        </w:rPr>
        <w:t xml:space="preserve">Liste des produits financiers mentionnés en vertu de l'article 8 et 9 du Règlement (UE) 2019/2088 du Parlement Européen et du Conseil du 27 novembre 2019 sur la publication d’informations en matière de durabilité dans le secteur des services financiers (SFDR) </w:t>
      </w:r>
    </w:p>
    <w:p w14:paraId="63C5CC04" w14:textId="77777777" w:rsidR="007E201B" w:rsidRDefault="007E201B" w:rsidP="007E201B">
      <w:pPr>
        <w:spacing w:after="120"/>
        <w:jc w:val="both"/>
        <w:rPr>
          <w:bCs/>
        </w:rPr>
      </w:pPr>
    </w:p>
    <w:p w14:paraId="5DD952EA" w14:textId="066820FA" w:rsidR="000736C9" w:rsidRDefault="000736C9" w:rsidP="007E201B">
      <w:pPr>
        <w:pStyle w:val="Titre2"/>
      </w:pPr>
      <w:r w:rsidRPr="007E201B">
        <w:t>Liste des produits financiers et part globale, en pourcentage, des encours sous gestion prenant en compte des critères environnementaux, sociaux et de qualité de gouvernance dans le montant total des encours gérés par l'entité</w:t>
      </w:r>
    </w:p>
    <w:p w14:paraId="6056D676" w14:textId="3E58DA98" w:rsidR="636BE5A6" w:rsidRDefault="636BE5A6" w:rsidP="636BE5A6"/>
    <w:p w14:paraId="5D41DC86" w14:textId="2D90B2AF" w:rsidR="007E201B" w:rsidRPr="007E201B" w:rsidRDefault="67FB2A23" w:rsidP="789FCE57">
      <w:pPr>
        <w:spacing w:after="0"/>
        <w:jc w:val="both"/>
      </w:pPr>
      <w:r>
        <w:t>Le FPCI BREIZH REBOND a</w:t>
      </w:r>
      <w:r w:rsidR="51EF7300">
        <w:t>vec</w:t>
      </w:r>
      <w:r>
        <w:t xml:space="preserve"> 100% de ses encours sous gestion</w:t>
      </w:r>
      <w:r w:rsidR="0358C5F2">
        <w:t>.</w:t>
      </w:r>
    </w:p>
    <w:p w14:paraId="5A5FC77E" w14:textId="2E236E52" w:rsidR="6E072257" w:rsidRDefault="6E072257" w:rsidP="6E072257">
      <w:pPr>
        <w:spacing w:after="0"/>
        <w:jc w:val="both"/>
      </w:pPr>
    </w:p>
    <w:p w14:paraId="754EBB83" w14:textId="77777777" w:rsidR="000736C9" w:rsidRPr="007E201B" w:rsidRDefault="000736C9" w:rsidP="007E201B">
      <w:pPr>
        <w:pStyle w:val="Titre2"/>
      </w:pPr>
      <w:r w:rsidRPr="007E201B">
        <w:t>Les entités assujetties aux obligations de publication de l’article 29 de la loi relative à l’énergie et au climat fournissent les informations prévues au c) du 1° du III de l’article D. 533-16-1 . du code monétaire et financier</w:t>
      </w:r>
    </w:p>
    <w:p w14:paraId="687C8EFE" w14:textId="77777777" w:rsidR="000736C9" w:rsidRPr="0018249B" w:rsidRDefault="000736C9" w:rsidP="000736C9">
      <w:pPr>
        <w:pStyle w:val="Paragraphedeliste"/>
        <w:spacing w:after="120"/>
        <w:ind w:left="708"/>
        <w:contextualSpacing w:val="0"/>
        <w:jc w:val="both"/>
        <w:rPr>
          <w:bCs/>
        </w:rPr>
      </w:pPr>
    </w:p>
    <w:p w14:paraId="1011C9B4" w14:textId="77777777" w:rsidR="00E504FD" w:rsidRDefault="00865C0A" w:rsidP="000736C9">
      <w:pPr>
        <w:jc w:val="both"/>
      </w:pPr>
    </w:p>
    <w:sectPr w:rsidR="00E504FD" w:rsidSect="007B006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2CDC" w14:textId="77777777" w:rsidR="00F064AD" w:rsidRDefault="00F064AD" w:rsidP="00F064AD">
      <w:pPr>
        <w:spacing w:after="0" w:line="240" w:lineRule="auto"/>
      </w:pPr>
      <w:r>
        <w:separator/>
      </w:r>
    </w:p>
  </w:endnote>
  <w:endnote w:type="continuationSeparator" w:id="0">
    <w:p w14:paraId="6F5EA594" w14:textId="77777777" w:rsidR="00F064AD" w:rsidRDefault="00F064AD" w:rsidP="00F064AD">
      <w:pPr>
        <w:spacing w:after="0" w:line="240" w:lineRule="auto"/>
      </w:pPr>
      <w:r>
        <w:continuationSeparator/>
      </w:r>
    </w:p>
  </w:endnote>
  <w:endnote w:type="continuationNotice" w:id="1">
    <w:p w14:paraId="4191E597" w14:textId="77777777" w:rsidR="00D577C8" w:rsidRDefault="00D57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3B0A" w14:textId="77777777" w:rsidR="00865C0A" w:rsidRDefault="00865C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E01C" w14:textId="77777777" w:rsidR="00C125BD" w:rsidRDefault="00C125BD" w:rsidP="00C125BD">
    <w:pPr>
      <w:pStyle w:val="En-tte"/>
      <w:jc w:val="center"/>
      <w:rPr>
        <w:rFonts w:ascii="Times New Roman" w:hAnsi="Times New Roman" w:cs="Times New Roman"/>
        <w:i/>
        <w:iCs/>
        <w:sz w:val="18"/>
        <w:szCs w:val="18"/>
      </w:rPr>
    </w:pPr>
    <w:r w:rsidRPr="007C0BA3">
      <w:rPr>
        <w:rFonts w:ascii="Times New Roman" w:hAnsi="Times New Roman" w:cs="Times New Roman"/>
        <w:b/>
        <w:bCs/>
        <w:i/>
        <w:iCs/>
        <w:sz w:val="18"/>
        <w:szCs w:val="18"/>
      </w:rPr>
      <w:t>Société de Gestion Ouest Rebond SAS</w:t>
    </w:r>
    <w:r w:rsidRPr="007C0BA3">
      <w:rPr>
        <w:rFonts w:ascii="Times New Roman" w:hAnsi="Times New Roman" w:cs="Times New Roman"/>
        <w:i/>
        <w:iCs/>
        <w:sz w:val="18"/>
        <w:szCs w:val="18"/>
      </w:rPr>
      <w:t xml:space="preserve">, société par actions simplifiée, au capital </w:t>
    </w:r>
    <w:r>
      <w:rPr>
        <w:rFonts w:ascii="Times New Roman" w:hAnsi="Times New Roman" w:cs="Times New Roman"/>
        <w:i/>
        <w:iCs/>
        <w:sz w:val="18"/>
        <w:szCs w:val="18"/>
      </w:rPr>
      <w:t xml:space="preserve">social </w:t>
    </w:r>
    <w:r w:rsidRPr="007C0BA3">
      <w:rPr>
        <w:rFonts w:ascii="Times New Roman" w:hAnsi="Times New Roman" w:cs="Times New Roman"/>
        <w:i/>
        <w:iCs/>
        <w:sz w:val="18"/>
        <w:szCs w:val="18"/>
      </w:rPr>
      <w:t>de 225</w:t>
    </w:r>
    <w:r>
      <w:rPr>
        <w:rFonts w:ascii="Times New Roman" w:hAnsi="Times New Roman" w:cs="Times New Roman"/>
        <w:i/>
        <w:iCs/>
        <w:sz w:val="18"/>
        <w:szCs w:val="18"/>
      </w:rPr>
      <w:t xml:space="preserve"> </w:t>
    </w:r>
    <w:r w:rsidRPr="007C0BA3">
      <w:rPr>
        <w:rFonts w:ascii="Times New Roman" w:hAnsi="Times New Roman" w:cs="Times New Roman"/>
        <w:i/>
        <w:iCs/>
        <w:sz w:val="18"/>
        <w:szCs w:val="18"/>
      </w:rPr>
      <w:t xml:space="preserve">000 euros, dont le siège social est situé </w:t>
    </w:r>
    <w:r>
      <w:rPr>
        <w:rFonts w:ascii="Times New Roman" w:hAnsi="Times New Roman" w:cs="Times New Roman"/>
        <w:i/>
        <w:iCs/>
        <w:sz w:val="18"/>
        <w:szCs w:val="18"/>
      </w:rPr>
      <w:t xml:space="preserve">8 </w:t>
    </w:r>
    <w:r w:rsidRPr="007C0BA3">
      <w:rPr>
        <w:rFonts w:ascii="Times New Roman" w:hAnsi="Times New Roman" w:cs="Times New Roman"/>
        <w:i/>
        <w:iCs/>
        <w:sz w:val="18"/>
        <w:szCs w:val="18"/>
      </w:rPr>
      <w:t>rue du P</w:t>
    </w:r>
    <w:r>
      <w:rPr>
        <w:rFonts w:ascii="Times New Roman" w:hAnsi="Times New Roman" w:cs="Times New Roman"/>
        <w:i/>
        <w:iCs/>
        <w:sz w:val="18"/>
        <w:szCs w:val="18"/>
      </w:rPr>
      <w:t>ré</w:t>
    </w:r>
    <w:r w:rsidRPr="007C0BA3">
      <w:rPr>
        <w:rFonts w:ascii="Times New Roman" w:hAnsi="Times New Roman" w:cs="Times New Roman"/>
        <w:i/>
        <w:iCs/>
        <w:sz w:val="18"/>
        <w:szCs w:val="18"/>
      </w:rPr>
      <w:t xml:space="preserve"> </w:t>
    </w:r>
    <w:r>
      <w:rPr>
        <w:rFonts w:ascii="Times New Roman" w:hAnsi="Times New Roman" w:cs="Times New Roman"/>
        <w:i/>
        <w:iCs/>
        <w:sz w:val="18"/>
        <w:szCs w:val="18"/>
      </w:rPr>
      <w:t>Botté</w:t>
    </w:r>
    <w:r w:rsidRPr="007C0BA3">
      <w:rPr>
        <w:rFonts w:ascii="Times New Roman" w:hAnsi="Times New Roman" w:cs="Times New Roman"/>
        <w:i/>
        <w:iCs/>
        <w:sz w:val="18"/>
        <w:szCs w:val="18"/>
      </w:rPr>
      <w:t xml:space="preserve"> à </w:t>
    </w:r>
    <w:r>
      <w:rPr>
        <w:rFonts w:ascii="Times New Roman" w:hAnsi="Times New Roman" w:cs="Times New Roman"/>
        <w:i/>
        <w:iCs/>
        <w:sz w:val="18"/>
        <w:szCs w:val="18"/>
      </w:rPr>
      <w:t>Rennes</w:t>
    </w:r>
    <w:r w:rsidRPr="007C0BA3">
      <w:rPr>
        <w:rFonts w:ascii="Times New Roman" w:hAnsi="Times New Roman" w:cs="Times New Roman"/>
        <w:i/>
        <w:iCs/>
        <w:sz w:val="18"/>
        <w:szCs w:val="18"/>
      </w:rPr>
      <w:t xml:space="preserve"> (35</w:t>
    </w:r>
    <w:r>
      <w:rPr>
        <w:rFonts w:ascii="Times New Roman" w:hAnsi="Times New Roman" w:cs="Times New Roman"/>
        <w:i/>
        <w:iCs/>
        <w:sz w:val="18"/>
        <w:szCs w:val="18"/>
      </w:rPr>
      <w:t>000</w:t>
    </w:r>
    <w:r w:rsidRPr="007C0BA3">
      <w:rPr>
        <w:rFonts w:ascii="Times New Roman" w:hAnsi="Times New Roman" w:cs="Times New Roman"/>
        <w:i/>
        <w:iCs/>
        <w:sz w:val="18"/>
        <w:szCs w:val="18"/>
      </w:rPr>
      <w:t xml:space="preserve">) immatriculée sous le numéro 891 791 881 RCS </w:t>
    </w:r>
  </w:p>
  <w:p w14:paraId="3D4A5E39" w14:textId="77777777" w:rsidR="00C125BD" w:rsidRDefault="00C125BD" w:rsidP="00C125BD">
    <w:pPr>
      <w:pStyle w:val="En-tte"/>
      <w:jc w:val="center"/>
      <w:rPr>
        <w:rFonts w:ascii="Times New Roman" w:hAnsi="Times New Roman" w:cs="Times New Roman"/>
        <w:i/>
        <w:iCs/>
        <w:sz w:val="18"/>
        <w:szCs w:val="18"/>
      </w:rPr>
    </w:pPr>
    <w:r>
      <w:rPr>
        <w:rFonts w:ascii="Times New Roman" w:hAnsi="Times New Roman" w:cs="Times New Roman"/>
        <w:i/>
        <w:iCs/>
        <w:sz w:val="18"/>
        <w:szCs w:val="18"/>
      </w:rPr>
      <w:t>Société de gestion agréée par l’Autorité des marchés financiers sous le numéro</w:t>
    </w:r>
    <w:r w:rsidRPr="00440B84">
      <w:rPr>
        <w:rFonts w:ascii="Times New Roman" w:hAnsi="Times New Roman" w:cs="Times New Roman"/>
        <w:i/>
        <w:iCs/>
        <w:sz w:val="18"/>
        <w:szCs w:val="18"/>
      </w:rPr>
      <w:t xml:space="preserve"> GP-202163</w:t>
    </w:r>
  </w:p>
  <w:p w14:paraId="74A06215" w14:textId="7E241FC1" w:rsidR="00B64DED" w:rsidRPr="00C125BD" w:rsidRDefault="00C125BD" w:rsidP="00C125BD">
    <w:pPr>
      <w:pStyle w:val="En-tte"/>
      <w:jc w:val="right"/>
      <w:rPr>
        <w:rFonts w:asciiTheme="majorHAnsi" w:hAnsiTheme="majorHAnsi" w:cstheme="majorHAnsi"/>
        <w:sz w:val="16"/>
        <w:szCs w:val="16"/>
      </w:rPr>
    </w:pPr>
    <w:r w:rsidRPr="00C1682F">
      <w:rPr>
        <w:rFonts w:asciiTheme="majorHAnsi" w:hAnsiTheme="majorHAnsi" w:cstheme="majorHAnsi"/>
        <w:sz w:val="16"/>
        <w:szCs w:val="16"/>
      </w:rPr>
      <w:fldChar w:fldCharType="begin"/>
    </w:r>
    <w:r w:rsidRPr="00C1682F">
      <w:rPr>
        <w:rFonts w:asciiTheme="majorHAnsi" w:hAnsiTheme="majorHAnsi" w:cstheme="majorHAnsi"/>
        <w:sz w:val="16"/>
        <w:szCs w:val="16"/>
      </w:rPr>
      <w:instrText>PAGE   \* MERGEFORMAT</w:instrText>
    </w:r>
    <w:r w:rsidRPr="00C1682F">
      <w:rPr>
        <w:rFonts w:asciiTheme="majorHAnsi" w:hAnsiTheme="majorHAnsi" w:cstheme="majorHAnsi"/>
        <w:sz w:val="16"/>
        <w:szCs w:val="16"/>
      </w:rPr>
      <w:fldChar w:fldCharType="separate"/>
    </w:r>
    <w:r>
      <w:rPr>
        <w:rFonts w:asciiTheme="majorHAnsi" w:hAnsiTheme="majorHAnsi" w:cstheme="majorHAnsi"/>
        <w:sz w:val="16"/>
        <w:szCs w:val="16"/>
      </w:rPr>
      <w:t>1</w:t>
    </w:r>
    <w:r w:rsidRPr="00C1682F">
      <w:rPr>
        <w:rFonts w:asciiTheme="majorHAnsi" w:hAnsiTheme="majorHAnsi" w:cstheme="maj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A672" w14:textId="77777777" w:rsidR="00865C0A" w:rsidRDefault="00865C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D98C" w14:textId="77777777" w:rsidR="00F064AD" w:rsidRDefault="00F064AD" w:rsidP="00F064AD">
      <w:pPr>
        <w:spacing w:after="0" w:line="240" w:lineRule="auto"/>
      </w:pPr>
      <w:r>
        <w:separator/>
      </w:r>
    </w:p>
  </w:footnote>
  <w:footnote w:type="continuationSeparator" w:id="0">
    <w:p w14:paraId="6FD30F10" w14:textId="77777777" w:rsidR="00F064AD" w:rsidRDefault="00F064AD" w:rsidP="00F064AD">
      <w:pPr>
        <w:spacing w:after="0" w:line="240" w:lineRule="auto"/>
      </w:pPr>
      <w:r>
        <w:continuationSeparator/>
      </w:r>
    </w:p>
  </w:footnote>
  <w:footnote w:type="continuationNotice" w:id="1">
    <w:p w14:paraId="755EA538" w14:textId="77777777" w:rsidR="00D577C8" w:rsidRDefault="00D577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B309" w14:textId="77777777" w:rsidR="00865C0A" w:rsidRDefault="00865C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228F" w14:textId="65F52A85" w:rsidR="00B64DED" w:rsidRDefault="00B64DED" w:rsidP="000F7FB4">
    <w:pPr>
      <w:pStyle w:val="En-tte"/>
      <w:tabs>
        <w:tab w:val="clear" w:pos="4536"/>
        <w:tab w:val="clear" w:pos="9072"/>
        <w:tab w:val="center" w:pos="5387"/>
      </w:tabs>
      <w:ind w:right="-166"/>
    </w:pPr>
    <w:r>
      <w:rPr>
        <w:noProof/>
      </w:rPr>
      <w:drawing>
        <wp:inline distT="0" distB="0" distL="0" distR="0" wp14:anchorId="313C86A3" wp14:editId="34A39C14">
          <wp:extent cx="1390650" cy="524124"/>
          <wp:effectExtent l="0" t="0" r="0" b="9525"/>
          <wp:docPr id="4" name="Image 3">
            <a:extLst xmlns:a="http://schemas.openxmlformats.org/drawingml/2006/main">
              <a:ext uri="{FF2B5EF4-FFF2-40B4-BE49-F238E27FC236}">
                <a16:creationId xmlns:a16="http://schemas.microsoft.com/office/drawing/2014/main" id="{B9AC7860-DD5B-42EE-AF8C-C6D2E042DC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B9AC7860-DD5B-42EE-AF8C-C6D2E042DC3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084" cy="530318"/>
                  </a:xfrm>
                  <a:prstGeom prst="rect">
                    <a:avLst/>
                  </a:prstGeom>
                  <a:noFill/>
                </pic:spPr>
              </pic:pic>
            </a:graphicData>
          </a:graphic>
        </wp:inline>
      </w:drawing>
    </w:r>
    <w:r w:rsidR="00E80B2F">
      <w:tab/>
    </w:r>
    <w:r w:rsidR="00164264">
      <w:tab/>
    </w:r>
    <w:r w:rsidR="000F7FB4">
      <w:tab/>
    </w:r>
    <w:r w:rsidR="000F7FB4">
      <w:tab/>
      <w:t xml:space="preserve">      </w:t>
    </w:r>
    <w:r w:rsidR="00C041F4">
      <w:t xml:space="preserve">             </w:t>
    </w:r>
    <w:r w:rsidR="000F7FB4">
      <w:t xml:space="preserve">    </w:t>
    </w:r>
  </w:p>
  <w:p w14:paraId="1A40C96E" w14:textId="77777777" w:rsidR="00B64DED" w:rsidRPr="002520AB" w:rsidRDefault="00B64DED" w:rsidP="00B64DED">
    <w:pPr>
      <w:pStyle w:val="En-tte"/>
      <w:rPr>
        <w:rFonts w:asciiTheme="majorHAnsi" w:hAnsiTheme="majorHAnsi" w:cstheme="majorHAnsi"/>
      </w:rPr>
    </w:pPr>
    <w:r>
      <w:rPr>
        <w:rFonts w:asciiTheme="majorHAnsi" w:hAnsiTheme="majorHAnsi" w:cstheme="majorHAnsi"/>
      </w:rPr>
      <w:t>6 Rue du Pré Botté</w:t>
    </w:r>
  </w:p>
  <w:p w14:paraId="427C2FA4" w14:textId="77777777" w:rsidR="00B64DED" w:rsidRDefault="00B64DED" w:rsidP="00B64DED">
    <w:pPr>
      <w:pStyle w:val="En-tte"/>
      <w:rPr>
        <w:rFonts w:asciiTheme="majorHAnsi" w:hAnsiTheme="majorHAnsi" w:cstheme="majorHAnsi"/>
      </w:rPr>
    </w:pPr>
    <w:r w:rsidRPr="002520AB">
      <w:rPr>
        <w:rFonts w:asciiTheme="majorHAnsi" w:hAnsiTheme="majorHAnsi" w:cstheme="majorHAnsi"/>
      </w:rPr>
      <w:t>35000 Rennes</w:t>
    </w:r>
  </w:p>
  <w:p w14:paraId="7B7B12DC" w14:textId="77777777" w:rsidR="00EB7DF4" w:rsidRPr="002520AB" w:rsidRDefault="00EB7DF4" w:rsidP="00B64DED">
    <w:pPr>
      <w:pStyle w:val="En-tte"/>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A1AC" w14:textId="77777777" w:rsidR="00865C0A" w:rsidRDefault="00865C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5EC5"/>
    <w:multiLevelType w:val="hybridMultilevel"/>
    <w:tmpl w:val="3B0CC91C"/>
    <w:lvl w:ilvl="0" w:tplc="CB4CBD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605D3D"/>
    <w:multiLevelType w:val="hybridMultilevel"/>
    <w:tmpl w:val="4532E62E"/>
    <w:lvl w:ilvl="0" w:tplc="DBCCC5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E00651"/>
    <w:multiLevelType w:val="hybridMultilevel"/>
    <w:tmpl w:val="F762F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EF41DE"/>
    <w:multiLevelType w:val="multilevel"/>
    <w:tmpl w:val="77266D22"/>
    <w:lvl w:ilvl="0">
      <w:start w:val="1"/>
      <w:numFmt w:val="upperLetter"/>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A131A54"/>
    <w:multiLevelType w:val="hybridMultilevel"/>
    <w:tmpl w:val="76A03690"/>
    <w:lvl w:ilvl="0" w:tplc="8B9C6A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E11F13"/>
    <w:multiLevelType w:val="multilevel"/>
    <w:tmpl w:val="040C001D"/>
    <w:styleLink w:val="Style1"/>
    <w:lvl w:ilvl="0">
      <w:start w:val="1"/>
      <w:numFmt w:val="decimal"/>
      <w:lvlText w:val="%1"/>
      <w:lvlJc w:val="left"/>
      <w:pPr>
        <w:ind w:left="360" w:hanging="360"/>
      </w:pPr>
      <w:rPr>
        <w:rFonts w:ascii="Helvetica" w:hAnsi="Helvetica" w:hint="default"/>
        <w:b/>
        <w:color w:val="4472C4" w:themeColor="accent1"/>
        <w:sz w:val="32"/>
        <w:u w:val="single"/>
      </w:rPr>
    </w:lvl>
    <w:lvl w:ilvl="1">
      <w:start w:val="1"/>
      <w:numFmt w:val="decimal"/>
      <w:lvlText w:val="%2"/>
      <w:lvlJc w:val="left"/>
      <w:pPr>
        <w:ind w:left="360" w:hanging="360"/>
      </w:pPr>
      <w:rPr>
        <w:rFonts w:ascii="Helvetica" w:hAnsi="Helvetica" w:hint="default"/>
        <w:b/>
        <w:color w:val="4472C4" w:themeColor="accent1"/>
        <w:sz w:val="24"/>
        <w:u w:val="single"/>
      </w:rPr>
    </w:lvl>
    <w:lvl w:ilvl="2">
      <w:start w:val="1"/>
      <w:numFmt w:val="decimal"/>
      <w:lvlText w:val="%3)"/>
      <w:lvlJc w:val="left"/>
      <w:pPr>
        <w:ind w:left="360" w:hanging="360"/>
      </w:pPr>
      <w:rPr>
        <w:rFonts w:ascii="Helvetica" w:hAnsi="Helvetica"/>
        <w:b/>
        <w:color w:val="4472C4" w:themeColor="accent1"/>
        <w:sz w:val="22"/>
        <w:u w:val="singl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B2D31D7"/>
    <w:multiLevelType w:val="multilevel"/>
    <w:tmpl w:val="66809714"/>
    <w:styleLink w:val="Styledelisten1"/>
    <w:lvl w:ilvl="0">
      <w:start w:val="1"/>
      <w:numFmt w:val="decimal"/>
      <w:lvlText w:val="%1."/>
      <w:lvlJc w:val="left"/>
      <w:pPr>
        <w:ind w:left="397" w:hanging="397"/>
      </w:pPr>
      <w:rPr>
        <w:rFonts w:ascii="Palatino Linotype" w:hAnsi="Palatino Linotype" w:hint="default"/>
        <w:b/>
        <w:color w:val="4472C4" w:themeColor="accent1"/>
        <w:sz w:val="32"/>
        <w:u w:val="single"/>
      </w:rPr>
    </w:lvl>
    <w:lvl w:ilvl="1">
      <w:start w:val="1"/>
      <w:numFmt w:val="decimal"/>
      <w:isLgl/>
      <w:lvlText w:val="%2.%1"/>
      <w:lvlJc w:val="left"/>
      <w:pPr>
        <w:ind w:left="397" w:hanging="397"/>
      </w:pPr>
      <w:rPr>
        <w:rFonts w:ascii="Palatino Linotype" w:hAnsi="Palatino Linotype" w:hint="default"/>
        <w:b/>
        <w:bCs/>
        <w:color w:val="4472C4" w:themeColor="accent1"/>
        <w:sz w:val="24"/>
        <w:szCs w:val="24"/>
        <w:u w:val="single"/>
      </w:rPr>
    </w:lvl>
    <w:lvl w:ilvl="2">
      <w:start w:val="1"/>
      <w:numFmt w:val="decimal"/>
      <w:isLgl/>
      <w:lvlText w:val="%1.%2.%3."/>
      <w:lvlJc w:val="left"/>
      <w:pPr>
        <w:ind w:left="397" w:hanging="397"/>
      </w:pPr>
      <w:rPr>
        <w:rFonts w:ascii="Palatino Linotype" w:hAnsi="Palatino Linotype" w:hint="default"/>
        <w:b w:val="0"/>
        <w:bCs w:val="0"/>
        <w:color w:val="4472C4" w:themeColor="accent1"/>
        <w:sz w:val="22"/>
        <w:szCs w:val="24"/>
        <w:u w:val="single"/>
      </w:rPr>
    </w:lvl>
    <w:lvl w:ilvl="3">
      <w:start w:val="1"/>
      <w:numFmt w:val="decimal"/>
      <w:isLgl/>
      <w:lvlText w:val="%1.%2.%3.%4."/>
      <w:lvlJc w:val="left"/>
      <w:pPr>
        <w:ind w:left="397" w:hanging="397"/>
      </w:pPr>
      <w:rPr>
        <w:rFonts w:hint="default"/>
        <w:b w:val="0"/>
        <w:bCs w:val="0"/>
        <w:color w:val="auto"/>
      </w:rPr>
    </w:lvl>
    <w:lvl w:ilvl="4">
      <w:start w:val="1"/>
      <w:numFmt w:val="decimal"/>
      <w:isLgl/>
      <w:lvlText w:val="%1.%2.%3.%4.%5."/>
      <w:lvlJc w:val="left"/>
      <w:pPr>
        <w:ind w:left="397" w:hanging="397"/>
      </w:pPr>
      <w:rPr>
        <w:rFonts w:hint="default"/>
      </w:rPr>
    </w:lvl>
    <w:lvl w:ilvl="5">
      <w:start w:val="1"/>
      <w:numFmt w:val="decimal"/>
      <w:isLgl/>
      <w:lvlText w:val="%1.%2.%3.%4.%5.%6."/>
      <w:lvlJc w:val="left"/>
      <w:pPr>
        <w:ind w:left="397" w:hanging="397"/>
      </w:pPr>
      <w:rPr>
        <w:rFonts w:hint="default"/>
      </w:rPr>
    </w:lvl>
    <w:lvl w:ilvl="6">
      <w:start w:val="1"/>
      <w:numFmt w:val="decimal"/>
      <w:isLgl/>
      <w:lvlText w:val="%1.%2.%3.%4.%5.%6.%7."/>
      <w:lvlJc w:val="left"/>
      <w:pPr>
        <w:ind w:left="397" w:hanging="397"/>
      </w:pPr>
      <w:rPr>
        <w:rFonts w:hint="default"/>
      </w:rPr>
    </w:lvl>
    <w:lvl w:ilvl="7">
      <w:start w:val="1"/>
      <w:numFmt w:val="decimal"/>
      <w:isLgl/>
      <w:lvlText w:val="%1.%2.%3.%4.%5.%6.%7.%8."/>
      <w:lvlJc w:val="left"/>
      <w:pPr>
        <w:ind w:left="397" w:hanging="397"/>
      </w:pPr>
      <w:rPr>
        <w:rFonts w:hint="default"/>
      </w:rPr>
    </w:lvl>
    <w:lvl w:ilvl="8">
      <w:start w:val="1"/>
      <w:numFmt w:val="decimal"/>
      <w:isLgl/>
      <w:lvlText w:val="%1.%2.%3.%4.%5.%6.%7.%8.%9."/>
      <w:lvlJc w:val="left"/>
      <w:pPr>
        <w:ind w:left="397" w:hanging="397"/>
      </w:pPr>
      <w:rPr>
        <w:rFonts w:hint="default"/>
      </w:rPr>
    </w:lvl>
  </w:abstractNum>
  <w:num w:numId="1" w16cid:durableId="836578861">
    <w:abstractNumId w:val="6"/>
  </w:num>
  <w:num w:numId="2" w16cid:durableId="2009824347">
    <w:abstractNumId w:val="6"/>
  </w:num>
  <w:num w:numId="3" w16cid:durableId="1734306515">
    <w:abstractNumId w:val="6"/>
  </w:num>
  <w:num w:numId="4" w16cid:durableId="1593077977">
    <w:abstractNumId w:val="5"/>
  </w:num>
  <w:num w:numId="5" w16cid:durableId="767196269">
    <w:abstractNumId w:val="5"/>
  </w:num>
  <w:num w:numId="6" w16cid:durableId="1242065830">
    <w:abstractNumId w:val="6"/>
  </w:num>
  <w:num w:numId="7" w16cid:durableId="1333681593">
    <w:abstractNumId w:val="6"/>
  </w:num>
  <w:num w:numId="8" w16cid:durableId="260601273">
    <w:abstractNumId w:val="3"/>
  </w:num>
  <w:num w:numId="9" w16cid:durableId="83117592">
    <w:abstractNumId w:val="4"/>
  </w:num>
  <w:num w:numId="10" w16cid:durableId="1743289608">
    <w:abstractNumId w:val="0"/>
  </w:num>
  <w:num w:numId="11" w16cid:durableId="1618833434">
    <w:abstractNumId w:val="1"/>
  </w:num>
  <w:num w:numId="12" w16cid:durableId="1550990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13"/>
    <w:rsid w:val="0000571A"/>
    <w:rsid w:val="0003479D"/>
    <w:rsid w:val="0005329F"/>
    <w:rsid w:val="000736C9"/>
    <w:rsid w:val="00075761"/>
    <w:rsid w:val="000A4241"/>
    <w:rsid w:val="000A73A2"/>
    <w:rsid w:val="000B79E1"/>
    <w:rsid w:val="000C2A28"/>
    <w:rsid w:val="000D1DA1"/>
    <w:rsid w:val="000E4EFD"/>
    <w:rsid w:val="000F7FB4"/>
    <w:rsid w:val="00101B83"/>
    <w:rsid w:val="001278EF"/>
    <w:rsid w:val="00145699"/>
    <w:rsid w:val="00157724"/>
    <w:rsid w:val="00164264"/>
    <w:rsid w:val="00172306"/>
    <w:rsid w:val="00186DAB"/>
    <w:rsid w:val="001B682F"/>
    <w:rsid w:val="001F3303"/>
    <w:rsid w:val="00205AFC"/>
    <w:rsid w:val="00220922"/>
    <w:rsid w:val="00221DC1"/>
    <w:rsid w:val="00224E24"/>
    <w:rsid w:val="00226F93"/>
    <w:rsid w:val="002426C2"/>
    <w:rsid w:val="00242BEA"/>
    <w:rsid w:val="002571E2"/>
    <w:rsid w:val="00263CBE"/>
    <w:rsid w:val="002A6EC1"/>
    <w:rsid w:val="002C3E88"/>
    <w:rsid w:val="002C658D"/>
    <w:rsid w:val="002D0E9E"/>
    <w:rsid w:val="002D115F"/>
    <w:rsid w:val="002D1BC3"/>
    <w:rsid w:val="002E1AC2"/>
    <w:rsid w:val="002E2818"/>
    <w:rsid w:val="002F1EC3"/>
    <w:rsid w:val="002F2625"/>
    <w:rsid w:val="002F31B5"/>
    <w:rsid w:val="002F6F60"/>
    <w:rsid w:val="0031246B"/>
    <w:rsid w:val="0031463F"/>
    <w:rsid w:val="003206B5"/>
    <w:rsid w:val="00331D8B"/>
    <w:rsid w:val="0033752F"/>
    <w:rsid w:val="00385827"/>
    <w:rsid w:val="0039006C"/>
    <w:rsid w:val="003A2131"/>
    <w:rsid w:val="003A45D7"/>
    <w:rsid w:val="003B136B"/>
    <w:rsid w:val="003E3D02"/>
    <w:rsid w:val="003F5B83"/>
    <w:rsid w:val="00423372"/>
    <w:rsid w:val="0042375D"/>
    <w:rsid w:val="00435296"/>
    <w:rsid w:val="00446229"/>
    <w:rsid w:val="004751EE"/>
    <w:rsid w:val="00475EA3"/>
    <w:rsid w:val="00482FE7"/>
    <w:rsid w:val="004A4B19"/>
    <w:rsid w:val="004A7D58"/>
    <w:rsid w:val="004D4DFA"/>
    <w:rsid w:val="004E1E84"/>
    <w:rsid w:val="004F4D1B"/>
    <w:rsid w:val="00505A01"/>
    <w:rsid w:val="00511039"/>
    <w:rsid w:val="005261CE"/>
    <w:rsid w:val="00527765"/>
    <w:rsid w:val="00541B30"/>
    <w:rsid w:val="00546225"/>
    <w:rsid w:val="0055745C"/>
    <w:rsid w:val="00592609"/>
    <w:rsid w:val="005A119F"/>
    <w:rsid w:val="005A1DFC"/>
    <w:rsid w:val="005B25BE"/>
    <w:rsid w:val="005B52E0"/>
    <w:rsid w:val="005D05B3"/>
    <w:rsid w:val="005D0D82"/>
    <w:rsid w:val="0062188F"/>
    <w:rsid w:val="00626928"/>
    <w:rsid w:val="006556E0"/>
    <w:rsid w:val="00670116"/>
    <w:rsid w:val="0067323D"/>
    <w:rsid w:val="00680846"/>
    <w:rsid w:val="00681D8E"/>
    <w:rsid w:val="00684449"/>
    <w:rsid w:val="006A4140"/>
    <w:rsid w:val="006D5968"/>
    <w:rsid w:val="006F1A94"/>
    <w:rsid w:val="00703981"/>
    <w:rsid w:val="00731113"/>
    <w:rsid w:val="00746DD6"/>
    <w:rsid w:val="00771C6D"/>
    <w:rsid w:val="007B006C"/>
    <w:rsid w:val="007B26DA"/>
    <w:rsid w:val="007B5FB0"/>
    <w:rsid w:val="007E201B"/>
    <w:rsid w:val="007F3D23"/>
    <w:rsid w:val="007F6FD3"/>
    <w:rsid w:val="00817D4D"/>
    <w:rsid w:val="008209CE"/>
    <w:rsid w:val="00831FB1"/>
    <w:rsid w:val="00851C9F"/>
    <w:rsid w:val="00861EF0"/>
    <w:rsid w:val="00864A17"/>
    <w:rsid w:val="00864B12"/>
    <w:rsid w:val="00865C0A"/>
    <w:rsid w:val="00894DDD"/>
    <w:rsid w:val="009040EA"/>
    <w:rsid w:val="009641C2"/>
    <w:rsid w:val="009659C7"/>
    <w:rsid w:val="00973E30"/>
    <w:rsid w:val="009756EF"/>
    <w:rsid w:val="00991E67"/>
    <w:rsid w:val="009A0B2E"/>
    <w:rsid w:val="009B1C04"/>
    <w:rsid w:val="009B5EF2"/>
    <w:rsid w:val="009C76D4"/>
    <w:rsid w:val="009D407A"/>
    <w:rsid w:val="009E4D55"/>
    <w:rsid w:val="009E5D1C"/>
    <w:rsid w:val="009F3BC7"/>
    <w:rsid w:val="00A1550C"/>
    <w:rsid w:val="00A20F4B"/>
    <w:rsid w:val="00A23EE0"/>
    <w:rsid w:val="00A24699"/>
    <w:rsid w:val="00A30CAE"/>
    <w:rsid w:val="00A52EE6"/>
    <w:rsid w:val="00A564C4"/>
    <w:rsid w:val="00A57A9A"/>
    <w:rsid w:val="00A638FB"/>
    <w:rsid w:val="00A653FD"/>
    <w:rsid w:val="00AB2C80"/>
    <w:rsid w:val="00AB531E"/>
    <w:rsid w:val="00AB6DF8"/>
    <w:rsid w:val="00AC518D"/>
    <w:rsid w:val="00AC5B77"/>
    <w:rsid w:val="00AD509D"/>
    <w:rsid w:val="00AE6A17"/>
    <w:rsid w:val="00B61423"/>
    <w:rsid w:val="00B647DE"/>
    <w:rsid w:val="00B64DED"/>
    <w:rsid w:val="00B66247"/>
    <w:rsid w:val="00B87539"/>
    <w:rsid w:val="00B92CF1"/>
    <w:rsid w:val="00B96898"/>
    <w:rsid w:val="00BC5E51"/>
    <w:rsid w:val="00BE4EB1"/>
    <w:rsid w:val="00BE53B0"/>
    <w:rsid w:val="00BF7182"/>
    <w:rsid w:val="00C02A99"/>
    <w:rsid w:val="00C041F4"/>
    <w:rsid w:val="00C050D0"/>
    <w:rsid w:val="00C125BD"/>
    <w:rsid w:val="00C3522F"/>
    <w:rsid w:val="00C54F4D"/>
    <w:rsid w:val="00C62F86"/>
    <w:rsid w:val="00C67001"/>
    <w:rsid w:val="00C84F87"/>
    <w:rsid w:val="00C90534"/>
    <w:rsid w:val="00C93FBD"/>
    <w:rsid w:val="00CA363C"/>
    <w:rsid w:val="00CA41A5"/>
    <w:rsid w:val="00CC66B7"/>
    <w:rsid w:val="00CD6DCE"/>
    <w:rsid w:val="00CE09E7"/>
    <w:rsid w:val="00CE1F0C"/>
    <w:rsid w:val="00CF1BA7"/>
    <w:rsid w:val="00D00E88"/>
    <w:rsid w:val="00D21524"/>
    <w:rsid w:val="00D22393"/>
    <w:rsid w:val="00D336B6"/>
    <w:rsid w:val="00D4068D"/>
    <w:rsid w:val="00D52703"/>
    <w:rsid w:val="00D577C8"/>
    <w:rsid w:val="00D60DF7"/>
    <w:rsid w:val="00DA4E90"/>
    <w:rsid w:val="00DB5FA4"/>
    <w:rsid w:val="00DE2CF6"/>
    <w:rsid w:val="00DE7542"/>
    <w:rsid w:val="00DF03B1"/>
    <w:rsid w:val="00DF52EC"/>
    <w:rsid w:val="00E137A0"/>
    <w:rsid w:val="00E33393"/>
    <w:rsid w:val="00E7313D"/>
    <w:rsid w:val="00E80B2F"/>
    <w:rsid w:val="00E83243"/>
    <w:rsid w:val="00E85573"/>
    <w:rsid w:val="00E92D1C"/>
    <w:rsid w:val="00EB4543"/>
    <w:rsid w:val="00EB54D2"/>
    <w:rsid w:val="00EB7DF4"/>
    <w:rsid w:val="00EF2C08"/>
    <w:rsid w:val="00F009B0"/>
    <w:rsid w:val="00F0513E"/>
    <w:rsid w:val="00F064AD"/>
    <w:rsid w:val="00F33604"/>
    <w:rsid w:val="00F41A62"/>
    <w:rsid w:val="00F65AE0"/>
    <w:rsid w:val="00F6631D"/>
    <w:rsid w:val="00F66FDD"/>
    <w:rsid w:val="00F76D4C"/>
    <w:rsid w:val="00F87C2D"/>
    <w:rsid w:val="00FA5287"/>
    <w:rsid w:val="00FA61DA"/>
    <w:rsid w:val="00FB1CCA"/>
    <w:rsid w:val="00FB3D9C"/>
    <w:rsid w:val="00FB7607"/>
    <w:rsid w:val="00FD440C"/>
    <w:rsid w:val="00FF0CDA"/>
    <w:rsid w:val="023D6252"/>
    <w:rsid w:val="0351D586"/>
    <w:rsid w:val="0358C5F2"/>
    <w:rsid w:val="05F92F76"/>
    <w:rsid w:val="077D9DE2"/>
    <w:rsid w:val="08ACA3D6"/>
    <w:rsid w:val="0D2D3D32"/>
    <w:rsid w:val="0F40C380"/>
    <w:rsid w:val="10075620"/>
    <w:rsid w:val="14A5AA65"/>
    <w:rsid w:val="187C3D1A"/>
    <w:rsid w:val="1AA292D1"/>
    <w:rsid w:val="226A0F88"/>
    <w:rsid w:val="2713E6C5"/>
    <w:rsid w:val="28510DF1"/>
    <w:rsid w:val="28A2E6AE"/>
    <w:rsid w:val="2A3E3E27"/>
    <w:rsid w:val="2AB72304"/>
    <w:rsid w:val="2ABFD9D8"/>
    <w:rsid w:val="2D643E70"/>
    <w:rsid w:val="30FFBFFA"/>
    <w:rsid w:val="324FA900"/>
    <w:rsid w:val="32592A1D"/>
    <w:rsid w:val="325E5421"/>
    <w:rsid w:val="33EAE1E9"/>
    <w:rsid w:val="342F4160"/>
    <w:rsid w:val="349483E9"/>
    <w:rsid w:val="37C993FA"/>
    <w:rsid w:val="38729E82"/>
    <w:rsid w:val="38A8EA50"/>
    <w:rsid w:val="395E73EF"/>
    <w:rsid w:val="3A80FACC"/>
    <w:rsid w:val="3CFEE38D"/>
    <w:rsid w:val="3E4A1150"/>
    <w:rsid w:val="3FA743B6"/>
    <w:rsid w:val="40BA87FA"/>
    <w:rsid w:val="44C56D44"/>
    <w:rsid w:val="45ABB406"/>
    <w:rsid w:val="47845BFA"/>
    <w:rsid w:val="4B4C438E"/>
    <w:rsid w:val="4FE245A6"/>
    <w:rsid w:val="50A7A956"/>
    <w:rsid w:val="51EF7300"/>
    <w:rsid w:val="5ADF053F"/>
    <w:rsid w:val="5D5FED72"/>
    <w:rsid w:val="5D6F94B2"/>
    <w:rsid w:val="5F7DF0FC"/>
    <w:rsid w:val="620E6638"/>
    <w:rsid w:val="636BE5A6"/>
    <w:rsid w:val="645194F0"/>
    <w:rsid w:val="65A7D6EA"/>
    <w:rsid w:val="672E0BBE"/>
    <w:rsid w:val="67726B35"/>
    <w:rsid w:val="67FB2A23"/>
    <w:rsid w:val="68206CF0"/>
    <w:rsid w:val="68C8F433"/>
    <w:rsid w:val="69E1801E"/>
    <w:rsid w:val="6A93417A"/>
    <w:rsid w:val="6C72D9DA"/>
    <w:rsid w:val="6E072257"/>
    <w:rsid w:val="6F30FE47"/>
    <w:rsid w:val="70ABEB96"/>
    <w:rsid w:val="72BBA9A1"/>
    <w:rsid w:val="73D3E518"/>
    <w:rsid w:val="758E9F52"/>
    <w:rsid w:val="761EE624"/>
    <w:rsid w:val="76CEE118"/>
    <w:rsid w:val="772B39FC"/>
    <w:rsid w:val="786BE069"/>
    <w:rsid w:val="789FCE57"/>
    <w:rsid w:val="7B36B6BE"/>
    <w:rsid w:val="7D275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45249"/>
  <w15:chartTrackingRefBased/>
  <w15:docId w15:val="{B12DF327-07CA-4B04-B9B0-C847A7D0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6C9"/>
    <w:rPr>
      <w:rFonts w:asciiTheme="minorHAnsi" w:hAnsiTheme="minorHAnsi"/>
      <w:kern w:val="0"/>
      <w14:ligatures w14:val="none"/>
    </w:rPr>
  </w:style>
  <w:style w:type="paragraph" w:styleId="Titre1">
    <w:name w:val="heading 1"/>
    <w:basedOn w:val="Normal"/>
    <w:next w:val="Normal"/>
    <w:link w:val="Titre1Car"/>
    <w:uiPriority w:val="9"/>
    <w:qFormat/>
    <w:rsid w:val="007E201B"/>
    <w:pPr>
      <w:spacing w:after="120"/>
      <w:jc w:val="both"/>
      <w:outlineLvl w:val="0"/>
    </w:pPr>
    <w:rPr>
      <w:b/>
      <w:bCs/>
      <w:color w:val="EFC300"/>
      <w:sz w:val="24"/>
      <w:szCs w:val="24"/>
    </w:rPr>
  </w:style>
  <w:style w:type="paragraph" w:styleId="Titre2">
    <w:name w:val="heading 2"/>
    <w:basedOn w:val="Normal"/>
    <w:next w:val="Normal"/>
    <w:link w:val="Titre2Car"/>
    <w:uiPriority w:val="9"/>
    <w:unhideWhenUsed/>
    <w:qFormat/>
    <w:rsid w:val="007E201B"/>
    <w:pPr>
      <w:spacing w:after="60"/>
      <w:jc w:val="both"/>
      <w:outlineLvl w:val="1"/>
    </w:pPr>
    <w:rPr>
      <w:b/>
      <w:bCs/>
      <w:color w:val="3B425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delisten1">
    <w:name w:val="Style de liste n°1"/>
    <w:uiPriority w:val="99"/>
    <w:rsid w:val="00E83243"/>
    <w:pPr>
      <w:numPr>
        <w:numId w:val="1"/>
      </w:numPr>
    </w:pPr>
  </w:style>
  <w:style w:type="numbering" w:customStyle="1" w:styleId="Style1">
    <w:name w:val="Style1"/>
    <w:uiPriority w:val="99"/>
    <w:rsid w:val="00E83243"/>
    <w:pPr>
      <w:numPr>
        <w:numId w:val="4"/>
      </w:numPr>
    </w:pPr>
  </w:style>
  <w:style w:type="paragraph" w:styleId="Paragraphedeliste">
    <w:name w:val="List Paragraph"/>
    <w:basedOn w:val="Normal"/>
    <w:uiPriority w:val="34"/>
    <w:qFormat/>
    <w:rsid w:val="000736C9"/>
    <w:pPr>
      <w:ind w:left="720"/>
      <w:contextualSpacing/>
    </w:pPr>
  </w:style>
  <w:style w:type="character" w:customStyle="1" w:styleId="Titre2Car">
    <w:name w:val="Titre 2 Car"/>
    <w:basedOn w:val="Policepardfaut"/>
    <w:link w:val="Titre2"/>
    <w:uiPriority w:val="9"/>
    <w:rsid w:val="007E201B"/>
    <w:rPr>
      <w:rFonts w:asciiTheme="minorHAnsi" w:hAnsiTheme="minorHAnsi"/>
      <w:b/>
      <w:bCs/>
      <w:color w:val="3B4250"/>
      <w:kern w:val="0"/>
      <w14:ligatures w14:val="none"/>
    </w:rPr>
  </w:style>
  <w:style w:type="character" w:customStyle="1" w:styleId="Titre1Car">
    <w:name w:val="Titre 1 Car"/>
    <w:basedOn w:val="Policepardfaut"/>
    <w:link w:val="Titre1"/>
    <w:uiPriority w:val="9"/>
    <w:rsid w:val="007E201B"/>
    <w:rPr>
      <w:rFonts w:asciiTheme="minorHAnsi" w:hAnsiTheme="minorHAnsi"/>
      <w:b/>
      <w:bCs/>
      <w:color w:val="EFC300"/>
      <w:kern w:val="0"/>
      <w:sz w:val="24"/>
      <w:szCs w:val="24"/>
      <w14:ligatures w14:val="none"/>
    </w:rPr>
  </w:style>
  <w:style w:type="paragraph" w:styleId="En-tte">
    <w:name w:val="header"/>
    <w:basedOn w:val="Normal"/>
    <w:link w:val="En-tteCar"/>
    <w:uiPriority w:val="99"/>
    <w:unhideWhenUsed/>
    <w:rsid w:val="00F064AD"/>
    <w:pPr>
      <w:tabs>
        <w:tab w:val="center" w:pos="4536"/>
        <w:tab w:val="right" w:pos="9072"/>
      </w:tabs>
      <w:spacing w:after="0" w:line="240" w:lineRule="auto"/>
    </w:pPr>
  </w:style>
  <w:style w:type="character" w:customStyle="1" w:styleId="En-tteCar">
    <w:name w:val="En-tête Car"/>
    <w:basedOn w:val="Policepardfaut"/>
    <w:link w:val="En-tte"/>
    <w:uiPriority w:val="99"/>
    <w:rsid w:val="00F064AD"/>
    <w:rPr>
      <w:rFonts w:asciiTheme="minorHAnsi" w:hAnsiTheme="minorHAnsi"/>
      <w:kern w:val="0"/>
      <w14:ligatures w14:val="none"/>
    </w:rPr>
  </w:style>
  <w:style w:type="paragraph" w:styleId="Pieddepage">
    <w:name w:val="footer"/>
    <w:basedOn w:val="Normal"/>
    <w:link w:val="PieddepageCar"/>
    <w:uiPriority w:val="99"/>
    <w:unhideWhenUsed/>
    <w:rsid w:val="00F064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64AD"/>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8105">
      <w:bodyDiv w:val="1"/>
      <w:marLeft w:val="0"/>
      <w:marRight w:val="0"/>
      <w:marTop w:val="0"/>
      <w:marBottom w:val="0"/>
      <w:divBdr>
        <w:top w:val="none" w:sz="0" w:space="0" w:color="auto"/>
        <w:left w:val="none" w:sz="0" w:space="0" w:color="auto"/>
        <w:bottom w:val="none" w:sz="0" w:space="0" w:color="auto"/>
        <w:right w:val="none" w:sz="0" w:space="0" w:color="auto"/>
      </w:divBdr>
    </w:div>
    <w:div w:id="483743716">
      <w:bodyDiv w:val="1"/>
      <w:marLeft w:val="0"/>
      <w:marRight w:val="0"/>
      <w:marTop w:val="0"/>
      <w:marBottom w:val="0"/>
      <w:divBdr>
        <w:top w:val="none" w:sz="0" w:space="0" w:color="auto"/>
        <w:left w:val="none" w:sz="0" w:space="0" w:color="auto"/>
        <w:bottom w:val="none" w:sz="0" w:space="0" w:color="auto"/>
        <w:right w:val="none" w:sz="0" w:space="0" w:color="auto"/>
      </w:divBdr>
    </w:div>
    <w:div w:id="630064112">
      <w:bodyDiv w:val="1"/>
      <w:marLeft w:val="0"/>
      <w:marRight w:val="0"/>
      <w:marTop w:val="0"/>
      <w:marBottom w:val="0"/>
      <w:divBdr>
        <w:top w:val="none" w:sz="0" w:space="0" w:color="auto"/>
        <w:left w:val="none" w:sz="0" w:space="0" w:color="auto"/>
        <w:bottom w:val="none" w:sz="0" w:space="0" w:color="auto"/>
        <w:right w:val="none" w:sz="0" w:space="0" w:color="auto"/>
      </w:divBdr>
      <w:divsChild>
        <w:div w:id="1615166024">
          <w:marLeft w:val="0"/>
          <w:marRight w:val="0"/>
          <w:marTop w:val="0"/>
          <w:marBottom w:val="945"/>
          <w:divBdr>
            <w:top w:val="none" w:sz="0" w:space="0" w:color="auto"/>
            <w:left w:val="none" w:sz="0" w:space="0" w:color="auto"/>
            <w:bottom w:val="none" w:sz="0" w:space="0" w:color="auto"/>
            <w:right w:val="none" w:sz="0" w:space="0" w:color="auto"/>
          </w:divBdr>
          <w:divsChild>
            <w:div w:id="84305199">
              <w:marLeft w:val="0"/>
              <w:marRight w:val="0"/>
              <w:marTop w:val="0"/>
              <w:marBottom w:val="0"/>
              <w:divBdr>
                <w:top w:val="none" w:sz="0" w:space="0" w:color="auto"/>
                <w:left w:val="none" w:sz="0" w:space="0" w:color="auto"/>
                <w:bottom w:val="none" w:sz="0" w:space="0" w:color="auto"/>
                <w:right w:val="none" w:sz="0" w:space="0" w:color="auto"/>
              </w:divBdr>
            </w:div>
          </w:divsChild>
        </w:div>
        <w:div w:id="498932851">
          <w:marLeft w:val="0"/>
          <w:marRight w:val="0"/>
          <w:marTop w:val="0"/>
          <w:marBottom w:val="445"/>
          <w:divBdr>
            <w:top w:val="none" w:sz="0" w:space="0" w:color="auto"/>
            <w:left w:val="none" w:sz="0" w:space="0" w:color="auto"/>
            <w:bottom w:val="none" w:sz="0" w:space="0" w:color="auto"/>
            <w:right w:val="none" w:sz="0" w:space="0" w:color="auto"/>
          </w:divBdr>
          <w:divsChild>
            <w:div w:id="1409376897">
              <w:marLeft w:val="0"/>
              <w:marRight w:val="0"/>
              <w:marTop w:val="0"/>
              <w:marBottom w:val="0"/>
              <w:divBdr>
                <w:top w:val="none" w:sz="0" w:space="0" w:color="auto"/>
                <w:left w:val="none" w:sz="0" w:space="0" w:color="auto"/>
                <w:bottom w:val="none" w:sz="0" w:space="0" w:color="auto"/>
                <w:right w:val="none" w:sz="0" w:space="0" w:color="auto"/>
              </w:divBdr>
            </w:div>
          </w:divsChild>
        </w:div>
        <w:div w:id="2107190132">
          <w:marLeft w:val="0"/>
          <w:marRight w:val="0"/>
          <w:marTop w:val="0"/>
          <w:marBottom w:val="0"/>
          <w:divBdr>
            <w:top w:val="none" w:sz="0" w:space="0" w:color="auto"/>
            <w:left w:val="none" w:sz="0" w:space="0" w:color="auto"/>
            <w:bottom w:val="none" w:sz="0" w:space="0" w:color="auto"/>
            <w:right w:val="none" w:sz="0" w:space="0" w:color="auto"/>
          </w:divBdr>
        </w:div>
      </w:divsChild>
    </w:div>
    <w:div w:id="7108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93CB5AF25F3F449D47CF7EE670B91E" ma:contentTypeVersion="12" ma:contentTypeDescription="Crée un document." ma:contentTypeScope="" ma:versionID="b6b8ab3ef3fd136c90b9023194fa2fd9">
  <xsd:schema xmlns:xsd="http://www.w3.org/2001/XMLSchema" xmlns:xs="http://www.w3.org/2001/XMLSchema" xmlns:p="http://schemas.microsoft.com/office/2006/metadata/properties" xmlns:ns2="744d0ae5-5d59-49ab-bd78-e39eb75fe321" xmlns:ns3="a48133a2-31cf-42e5-bdce-70c144dbe9b1" targetNamespace="http://schemas.microsoft.com/office/2006/metadata/properties" ma:root="true" ma:fieldsID="113418122e6c34da20752e9a0a047d56" ns2:_="" ns3:_="">
    <xsd:import namespace="744d0ae5-5d59-49ab-bd78-e39eb75fe321"/>
    <xsd:import namespace="a48133a2-31cf-42e5-bdce-70c144dbe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d0ae5-5d59-49ab-bd78-e39eb75fe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0a84ce8-1cb1-46a9-85cc-990190043616"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133a2-31cf-42e5-bdce-70c144dbe9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39da8d-3144-4fce-964e-b696b3ff0496}" ma:internalName="TaxCatchAll" ma:showField="CatchAllData" ma:web="a48133a2-31cf-42e5-bdce-70c144dbe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8133a2-31cf-42e5-bdce-70c144dbe9b1" xsi:nil="true"/>
    <lcf76f155ced4ddcb4097134ff3c332f xmlns="744d0ae5-5d59-49ab-bd78-e39eb75fe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56EDB6-718D-48E9-BFD1-48610B5B3038}">
  <ds:schemaRefs>
    <ds:schemaRef ds:uri="http://schemas.microsoft.com/sharepoint/v3/contenttype/forms"/>
  </ds:schemaRefs>
</ds:datastoreItem>
</file>

<file path=customXml/itemProps2.xml><?xml version="1.0" encoding="utf-8"?>
<ds:datastoreItem xmlns:ds="http://schemas.openxmlformats.org/officeDocument/2006/customXml" ds:itemID="{1942AD9E-2473-452B-AA2B-BAD7F359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d0ae5-5d59-49ab-bd78-e39eb75fe321"/>
    <ds:schemaRef ds:uri="a48133a2-31cf-42e5-bdce-70c144dbe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05AD3-83C5-4005-803A-DE62888117FF}">
  <ds:schemaRefs>
    <ds:schemaRef ds:uri="http://purl.org/dc/terms/"/>
    <ds:schemaRef ds:uri="http://www.w3.org/XML/1998/namespace"/>
    <ds:schemaRef ds:uri="http://schemas.microsoft.com/office/2006/documentManagement/types"/>
    <ds:schemaRef ds:uri="http://schemas.microsoft.com/office/2006/metadata/properties"/>
    <ds:schemaRef ds:uri="744d0ae5-5d59-49ab-bd78-e39eb75fe321"/>
    <ds:schemaRef ds:uri="http://schemas.microsoft.com/office/infopath/2007/PartnerControls"/>
    <ds:schemaRef ds:uri="http://purl.org/dc/dcmitype/"/>
    <ds:schemaRef ds:uri="http://purl.org/dc/elements/1.1/"/>
    <ds:schemaRef ds:uri="http://schemas.openxmlformats.org/package/2006/metadata/core-properties"/>
    <ds:schemaRef ds:uri="a48133a2-31cf-42e5-bdce-70c144dbe9b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786</Words>
  <Characters>4325</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Breizh Rebond</dc:creator>
  <cp:keywords/>
  <dc:description/>
  <cp:lastModifiedBy>Mathilde POIGNANT</cp:lastModifiedBy>
  <cp:revision>11</cp:revision>
  <dcterms:created xsi:type="dcterms:W3CDTF">2023-06-22T14:58:00Z</dcterms:created>
  <dcterms:modified xsi:type="dcterms:W3CDTF">2023-06-26T13:35:00Z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0x0101007493CB5AF25F3F449D47CF7EE670B91E</vt:lpwstr>
  </property>
  <property fmtid="{D5CDD505-2E9C-101B-9397-08002B2CF9AE}" pid="3" name="MediaServiceImageTags">
    <vt:lpwstr/>
  </property>
</Properties>
</file>