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E47C" w14:textId="38C67188" w:rsidR="004E2538" w:rsidRDefault="004E2538" w:rsidP="003A1F54">
      <w:pPr>
        <w:jc w:val="right"/>
        <w:rPr>
          <w:i/>
          <w:iCs/>
          <w:sz w:val="28"/>
          <w:u w:val="single"/>
        </w:rPr>
      </w:pPr>
      <w:r>
        <w:rPr>
          <w:i/>
          <w:iCs/>
          <w:sz w:val="28"/>
          <w:u w:val="single"/>
        </w:rPr>
        <w:t xml:space="preserve">                                                                                                                 </w:t>
      </w:r>
    </w:p>
    <w:p w14:paraId="3331F494" w14:textId="4FFB3F2F" w:rsidR="002366D0" w:rsidRDefault="002366D0" w:rsidP="00143C20">
      <w:pPr>
        <w:jc w:val="center"/>
        <w:rPr>
          <w:i/>
          <w:iCs/>
          <w:sz w:val="28"/>
          <w:u w:val="single"/>
        </w:rPr>
      </w:pPr>
    </w:p>
    <w:p w14:paraId="6C6D05F7" w14:textId="53A64661" w:rsidR="002366D0" w:rsidRPr="00794FC9" w:rsidRDefault="002366D0" w:rsidP="00143C20">
      <w:pPr>
        <w:jc w:val="center"/>
        <w:rPr>
          <w:b/>
          <w:bCs/>
          <w:color w:val="2F5496" w:themeColor="accent1" w:themeShade="BF"/>
          <w:sz w:val="32"/>
          <w:szCs w:val="32"/>
        </w:rPr>
      </w:pPr>
      <w:proofErr w:type="spellStart"/>
      <w:r w:rsidRPr="00794FC9">
        <w:rPr>
          <w:b/>
          <w:bCs/>
          <w:color w:val="2F5496" w:themeColor="accent1" w:themeShade="BF"/>
          <w:sz w:val="32"/>
          <w:szCs w:val="32"/>
        </w:rPr>
        <w:t>Reporting</w:t>
      </w:r>
      <w:proofErr w:type="spellEnd"/>
      <w:r w:rsidRPr="00794FC9">
        <w:rPr>
          <w:b/>
          <w:bCs/>
          <w:color w:val="2F5496" w:themeColor="accent1" w:themeShade="BF"/>
          <w:sz w:val="32"/>
          <w:szCs w:val="32"/>
        </w:rPr>
        <w:t xml:space="preserve"> article 29 de la Loi Énergie Climat 2022</w:t>
      </w:r>
    </w:p>
    <w:p w14:paraId="1E789F5B" w14:textId="67C28A46" w:rsidR="002366D0" w:rsidRPr="00794FC9" w:rsidRDefault="002366D0" w:rsidP="00143C20">
      <w:pPr>
        <w:jc w:val="center"/>
        <w:rPr>
          <w:b/>
          <w:bCs/>
          <w:color w:val="2F5496" w:themeColor="accent1" w:themeShade="BF"/>
        </w:rPr>
      </w:pPr>
      <w:r w:rsidRPr="00794FC9">
        <w:rPr>
          <w:b/>
          <w:bCs/>
          <w:color w:val="2F5496" w:themeColor="accent1" w:themeShade="BF"/>
        </w:rPr>
        <w:t>June 2023</w:t>
      </w:r>
    </w:p>
    <w:p w14:paraId="6BC36E38" w14:textId="74B3D480" w:rsidR="004E2538" w:rsidRDefault="004E2538" w:rsidP="004E2538">
      <w:pPr>
        <w:jc w:val="center"/>
        <w:rPr>
          <w:i/>
          <w:iCs/>
          <w:sz w:val="28"/>
          <w:u w:val="single"/>
        </w:rPr>
      </w:pPr>
      <w:r>
        <w:rPr>
          <w:i/>
          <w:iCs/>
          <w:sz w:val="28"/>
          <w:u w:val="single"/>
        </w:rPr>
        <w:t xml:space="preserve">ANNEXE A </w:t>
      </w:r>
    </w:p>
    <w:p w14:paraId="103E3B9F" w14:textId="77777777" w:rsidR="00143C20" w:rsidRDefault="00143C20" w:rsidP="00794FC9">
      <w:pPr>
        <w:jc w:val="both"/>
        <w:rPr>
          <w:rFonts w:cstheme="minorHAnsi"/>
          <w:b/>
          <w:bCs/>
          <w:caps/>
        </w:rPr>
      </w:pPr>
      <w:r>
        <w:rPr>
          <w:rFonts w:cstheme="minorHAnsi"/>
          <w:b/>
          <w:bCs/>
          <w:caps/>
        </w:rPr>
        <w:t>Structure des informations de durabilité du rapport annuel conformément aux dispositions prévues au V de l’article D.533-16-1 du code monétaire et financier pour les organismes ayant moins de 500 millions d'euros de total de bilan ou d’encours</w:t>
      </w:r>
    </w:p>
    <w:p w14:paraId="5F2DB0A8" w14:textId="77777777" w:rsidR="00143C20" w:rsidRDefault="00143C20" w:rsidP="00794FC9">
      <w:pPr>
        <w:jc w:val="both"/>
        <w:rPr>
          <w:rFonts w:ascii="Segoe UI" w:hAnsi="Segoe UI" w:cs="Segoe UI"/>
          <w:color w:val="374151"/>
          <w:shd w:val="clear" w:color="auto" w:fill="F7F7F8"/>
        </w:rPr>
      </w:pPr>
    </w:p>
    <w:p w14:paraId="7C9B60FA" w14:textId="638FC0C5" w:rsidR="00143C20" w:rsidRPr="00794FC9" w:rsidRDefault="00143C20" w:rsidP="00794FC9">
      <w:pPr>
        <w:pStyle w:val="ListParagraph"/>
        <w:numPr>
          <w:ilvl w:val="0"/>
          <w:numId w:val="3"/>
        </w:numPr>
        <w:spacing w:after="120"/>
        <w:ind w:left="284" w:hanging="284"/>
        <w:jc w:val="both"/>
        <w:rPr>
          <w:b/>
          <w:bCs/>
          <w:sz w:val="24"/>
          <w:szCs w:val="24"/>
        </w:rPr>
      </w:pPr>
      <w:r w:rsidRPr="00794FC9">
        <w:rPr>
          <w:b/>
          <w:bCs/>
          <w:sz w:val="24"/>
          <w:szCs w:val="24"/>
        </w:rPr>
        <w:t>Démarche générale de l’entité sur la prise en compte des critères environnementaux, sociaux et de qualité de gouvernance</w:t>
      </w:r>
    </w:p>
    <w:p w14:paraId="7F070D6A" w14:textId="555F45E9" w:rsidR="002653AE" w:rsidRDefault="00143C20" w:rsidP="00794FC9">
      <w:pPr>
        <w:ind w:left="284"/>
        <w:jc w:val="both"/>
      </w:pPr>
      <w:r w:rsidRPr="00143C20">
        <w:t xml:space="preserve">A.1. </w:t>
      </w:r>
      <w:r w:rsidR="002653AE" w:rsidRPr="00794FC9">
        <w:rPr>
          <w:b/>
          <w:bCs/>
        </w:rPr>
        <w:t>Démarche générale de l'entité</w:t>
      </w:r>
      <w:r w:rsidR="00794FC9">
        <w:rPr>
          <w:b/>
          <w:bCs/>
        </w:rPr>
        <w:t> </w:t>
      </w:r>
    </w:p>
    <w:p w14:paraId="5A838CAB" w14:textId="79D754F9" w:rsidR="00CE7541" w:rsidRPr="00143C20" w:rsidRDefault="00143C20" w:rsidP="00794FC9">
      <w:pPr>
        <w:ind w:left="284"/>
        <w:jc w:val="both"/>
      </w:pPr>
      <w:r w:rsidRPr="00143C20">
        <w:t>Machina Capital reconnaît qu</w:t>
      </w:r>
      <w:r w:rsidR="00F170A8">
        <w:t>e la prise en compte de la durabilité</w:t>
      </w:r>
      <w:r w:rsidRPr="00143C20">
        <w:t xml:space="preserve"> crée une valeur à long terme pour toutes les parties prenantes. Elle travaille à intégrer les considérations environnementales, sociales et de gouvernance (ESG) dans ses activités quotidiennes. Malgré son utilisation croissante des données ESG, à l'heure actuelle, Machina Capital n'intègre pas les risques liés à la durabilité dans ses décisions d'investissement.</w:t>
      </w:r>
    </w:p>
    <w:p w14:paraId="7DC3840A" w14:textId="435C6966" w:rsidR="00143C20" w:rsidRPr="00143C20" w:rsidRDefault="00143C20" w:rsidP="00794FC9">
      <w:pPr>
        <w:ind w:left="284"/>
        <w:jc w:val="both"/>
      </w:pPr>
      <w:r w:rsidRPr="00143C20">
        <w:t xml:space="preserve">Machina Capital ne tient pas compte des impacts défavorables de ses décisions d'investissement sur les facteurs de durabilité au sens de l'article 4 du SFDR, car elle considère que sa stratégie et sa taille ne lui permettent pas de le faire. Machina Capital surveille l'évolution des pratiques de </w:t>
      </w:r>
      <w:proofErr w:type="spellStart"/>
      <w:r w:rsidRPr="00143C20">
        <w:t>reporting</w:t>
      </w:r>
      <w:proofErr w:type="spellEnd"/>
      <w:r w:rsidRPr="00143C20">
        <w:t xml:space="preserve"> et peut </w:t>
      </w:r>
      <w:r w:rsidR="00F170A8">
        <w:t>appliquer</w:t>
      </w:r>
      <w:r w:rsidR="00F170A8" w:rsidRPr="00143C20">
        <w:t xml:space="preserve"> </w:t>
      </w:r>
      <w:r w:rsidRPr="00143C20">
        <w:t>le cadre de l'article 4 à l'avenir si elle estime que cela est pratique et approprié.</w:t>
      </w:r>
    </w:p>
    <w:p w14:paraId="66CA4343" w14:textId="53D16CA3" w:rsidR="00143C20" w:rsidRPr="00143C20" w:rsidRDefault="00143C20" w:rsidP="00794FC9">
      <w:pPr>
        <w:ind w:left="284"/>
        <w:jc w:val="both"/>
      </w:pPr>
      <w:r w:rsidRPr="00143C20">
        <w:t>Machina Capital a établi une politique de rémunération qui définit les principes applicables aux rémunérations de la direction générale, de tous les membres du personnel ayant un impact significatif sur le profil de risque des entreprises financières, ainsi que de tous les membres du personnel exerçant des fonctions de contrôle indépendantes. La société s'efforce de rendre la rémunération compétitive et conforme aux normes du marché, aux règles et réglementations applicables. Afin de permettre à Machina Capital d'identifier, de mesurer, de gérer et de contrôler les risques liés à la rémunération, cette dernière doit être structurée de manière à promouvoir une gestion des risques saine et efficace, être conforme au code de conduite et aux documents internes visant à respecter les exigences de conformité et à contrer les prises de risques excessives par les employés. Machina Capital n'intègre pas les risques liés à la durabilité dans ses décisions d'investissement, par conséquent, la politique de rémunération de Machina Capital n'intègre pas actuellement les risques liés à la durabilité.</w:t>
      </w:r>
    </w:p>
    <w:p w14:paraId="0CBBFF04" w14:textId="4309D004" w:rsidR="003A1F54" w:rsidRDefault="00143C20" w:rsidP="00794FC9">
      <w:pPr>
        <w:ind w:left="284"/>
        <w:jc w:val="both"/>
      </w:pPr>
      <w:r w:rsidRPr="00143C20">
        <w:t xml:space="preserve">A.2. </w:t>
      </w:r>
      <w:r w:rsidR="003A1F54" w:rsidRPr="00794FC9">
        <w:rPr>
          <w:b/>
          <w:bCs/>
        </w:rPr>
        <w:t>Contenu, fréquence et moyens utilisés par l’entité pour informer les souscripteurs sur les critères relatifs aux objectifs ESG pris en compte dans la politique et la stratégie d’investissement</w:t>
      </w:r>
      <w:r w:rsidR="00794FC9">
        <w:rPr>
          <w:b/>
          <w:bCs/>
        </w:rPr>
        <w:t> </w:t>
      </w:r>
    </w:p>
    <w:p w14:paraId="01E2D92B" w14:textId="4B4456A7" w:rsidR="00143C20" w:rsidRPr="00143C20" w:rsidRDefault="00143C20" w:rsidP="00794FC9">
      <w:pPr>
        <w:ind w:left="284"/>
        <w:jc w:val="both"/>
      </w:pPr>
      <w:r w:rsidRPr="00143C20">
        <w:t xml:space="preserve">Machina Capital publie sa politique ESG et ses </w:t>
      </w:r>
      <w:r w:rsidR="00F170A8">
        <w:t>déclarations</w:t>
      </w:r>
      <w:r w:rsidR="00F170A8" w:rsidRPr="00143C20">
        <w:t xml:space="preserve"> </w:t>
      </w:r>
      <w:r w:rsidRPr="00143C20">
        <w:t>SFDR sur son site web</w:t>
      </w:r>
      <w:r w:rsidR="00F170A8">
        <w:t xml:space="preserve"> et dans le prospectus du fonds</w:t>
      </w:r>
      <w:r w:rsidRPr="00143C20">
        <w:t>.</w:t>
      </w:r>
    </w:p>
    <w:p w14:paraId="5ACCC05A" w14:textId="77777777" w:rsidR="003A1F54" w:rsidRDefault="003A1F54" w:rsidP="00794FC9">
      <w:pPr>
        <w:ind w:left="284"/>
        <w:jc w:val="both"/>
      </w:pPr>
    </w:p>
    <w:p w14:paraId="10004D9A" w14:textId="77777777" w:rsidR="003A1F54" w:rsidRDefault="003A1F54" w:rsidP="00794FC9">
      <w:pPr>
        <w:ind w:left="284"/>
        <w:jc w:val="both"/>
      </w:pPr>
    </w:p>
    <w:p w14:paraId="74785A98" w14:textId="77777777" w:rsidR="003A1F54" w:rsidRDefault="003A1F54" w:rsidP="00794FC9">
      <w:pPr>
        <w:jc w:val="both"/>
      </w:pPr>
    </w:p>
    <w:p w14:paraId="25086210" w14:textId="6A7DF128" w:rsidR="003A1F54" w:rsidRPr="00794FC9" w:rsidRDefault="00143C20" w:rsidP="00794FC9">
      <w:pPr>
        <w:ind w:left="284"/>
        <w:jc w:val="both"/>
        <w:rPr>
          <w:b/>
          <w:bCs/>
        </w:rPr>
      </w:pPr>
      <w:r w:rsidRPr="00143C20">
        <w:t xml:space="preserve">A.3. </w:t>
      </w:r>
      <w:r w:rsidR="003A1F54" w:rsidRPr="00794FC9">
        <w:rPr>
          <w:b/>
          <w:bCs/>
        </w:rPr>
        <w:t>Adhésion de l’entité, ou de certains produits financiers, à une charte, un code, une initiative ou obtention d’un label sur la prise en compte de critères ESG, ainsi qu’une description sommaire de ceux-ci, en cohérence avec le d) du 2 de l’article 4 du règlement mentionné ci-dessus</w:t>
      </w:r>
      <w:r w:rsidR="00794FC9">
        <w:rPr>
          <w:b/>
          <w:bCs/>
        </w:rPr>
        <w:t> </w:t>
      </w:r>
    </w:p>
    <w:p w14:paraId="5A07B818" w14:textId="29DD2CB2" w:rsidR="00143C20" w:rsidRDefault="00143C20" w:rsidP="00794FC9">
      <w:pPr>
        <w:ind w:left="284"/>
        <w:jc w:val="both"/>
      </w:pPr>
      <w:r w:rsidRPr="00143C20">
        <w:t>Machina Capital n'est actuellement membre d'aucune charte ESG, mais envisage d'adhérer aux Principes pour l'Investissement Responsable des Nations Unies (UN PRI).</w:t>
      </w:r>
    </w:p>
    <w:p w14:paraId="0DAF117F" w14:textId="77777777" w:rsidR="00143C20" w:rsidRDefault="00143C20" w:rsidP="00794FC9">
      <w:pPr>
        <w:jc w:val="both"/>
        <w:rPr>
          <w:rFonts w:ascii="Segoe UI" w:hAnsi="Segoe UI" w:cs="Segoe UI"/>
          <w:color w:val="374151"/>
          <w:shd w:val="clear" w:color="auto" w:fill="F7F7F8"/>
        </w:rPr>
      </w:pPr>
    </w:p>
    <w:p w14:paraId="6179F96B" w14:textId="28986839" w:rsidR="00794FC9" w:rsidRPr="00794FC9" w:rsidRDefault="00143C20" w:rsidP="00794FC9">
      <w:pPr>
        <w:pStyle w:val="ListParagraph"/>
        <w:numPr>
          <w:ilvl w:val="0"/>
          <w:numId w:val="3"/>
        </w:numPr>
        <w:spacing w:after="60"/>
        <w:jc w:val="both"/>
        <w:rPr>
          <w:b/>
          <w:bCs/>
          <w:sz w:val="24"/>
          <w:szCs w:val="24"/>
        </w:rPr>
      </w:pPr>
      <w:r w:rsidRPr="00794FC9">
        <w:rPr>
          <w:b/>
          <w:bCs/>
          <w:sz w:val="24"/>
          <w:szCs w:val="24"/>
        </w:rPr>
        <w:t>Liste des produits financiers mentionnés en vertu de l'article 8 et 9 du Règlement (UE) 2019/2088 du Parlement Européen et du Conseil du 27 novembre 2019 sur la publication d’informations en matière de durabilité dans le secteur des services financiers (SFDR)</w:t>
      </w:r>
      <w:r w:rsidR="00794FC9">
        <w:rPr>
          <w:b/>
          <w:bCs/>
          <w:sz w:val="24"/>
          <w:szCs w:val="24"/>
        </w:rPr>
        <w:t> </w:t>
      </w:r>
    </w:p>
    <w:p w14:paraId="5109AEB7" w14:textId="093D4FA8" w:rsidR="00143C20" w:rsidRPr="00143C20" w:rsidRDefault="00143C20" w:rsidP="00794FC9">
      <w:pPr>
        <w:ind w:left="360"/>
        <w:jc w:val="both"/>
      </w:pPr>
      <w:r w:rsidRPr="00143C20">
        <w:t>La section B n'est pas applicable à Machina Capital. Machina Capital relève de l'article 6 du Règlement (UE) 2019/2088 du Parlement européen et du Conseil du 27 novembre 2019 relatif aux informations à publier en matière de durabilité dans le secteur des services financiers (SFDR).</w:t>
      </w:r>
    </w:p>
    <w:p w14:paraId="61B02F21" w14:textId="77777777" w:rsidR="00143C20" w:rsidRDefault="00143C20" w:rsidP="00794FC9">
      <w:pPr>
        <w:jc w:val="both"/>
      </w:pPr>
    </w:p>
    <w:sectPr w:rsidR="00143C2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1D537" w14:textId="77777777" w:rsidR="00DF0127" w:rsidRDefault="00DF0127" w:rsidP="00DF0127">
      <w:pPr>
        <w:spacing w:after="0" w:line="240" w:lineRule="auto"/>
      </w:pPr>
      <w:r>
        <w:separator/>
      </w:r>
    </w:p>
  </w:endnote>
  <w:endnote w:type="continuationSeparator" w:id="0">
    <w:p w14:paraId="14A488EC" w14:textId="77777777" w:rsidR="00DF0127" w:rsidRDefault="00DF0127" w:rsidP="00DF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505993"/>
      <w:docPartObj>
        <w:docPartGallery w:val="Page Numbers (Bottom of Page)"/>
        <w:docPartUnique/>
      </w:docPartObj>
    </w:sdtPr>
    <w:sdtEndPr>
      <w:rPr>
        <w:noProof/>
      </w:rPr>
    </w:sdtEndPr>
    <w:sdtContent>
      <w:p w14:paraId="373821F2" w14:textId="42573A2C" w:rsidR="00DF0127" w:rsidRDefault="00DF0127" w:rsidP="00794F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FD27AF" w14:textId="6AB830E1" w:rsidR="00DF0127" w:rsidRDefault="00DF0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BE65" w14:textId="77777777" w:rsidR="00DF0127" w:rsidRDefault="00DF0127" w:rsidP="00DF0127">
      <w:pPr>
        <w:spacing w:after="0" w:line="240" w:lineRule="auto"/>
      </w:pPr>
      <w:r>
        <w:separator/>
      </w:r>
    </w:p>
  </w:footnote>
  <w:footnote w:type="continuationSeparator" w:id="0">
    <w:p w14:paraId="5793400D" w14:textId="77777777" w:rsidR="00DF0127" w:rsidRDefault="00DF0127" w:rsidP="00DF0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C044" w14:textId="696BEE5D" w:rsidR="003A1F54" w:rsidRDefault="003A1F54" w:rsidP="003A1F54">
    <w:pPr>
      <w:pStyle w:val="Header"/>
      <w:jc w:val="right"/>
    </w:pPr>
    <w:r>
      <w:rPr>
        <w:noProof/>
        <w:lang w:eastAsia="fr-FR"/>
      </w:rPr>
      <w:drawing>
        <wp:inline distT="0" distB="0" distL="0" distR="0" wp14:anchorId="6CA45B7F" wp14:editId="7856FEAF">
          <wp:extent cx="1417664" cy="342900"/>
          <wp:effectExtent l="0" t="0" r="0" b="0"/>
          <wp:docPr id="1925231422" name="Picture 1925231422" descr="A picture containing font, tex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text, logo, graphic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1133" cy="3630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2C79"/>
    <w:multiLevelType w:val="hybridMultilevel"/>
    <w:tmpl w:val="B5668D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9B4F36"/>
    <w:multiLevelType w:val="hybridMultilevel"/>
    <w:tmpl w:val="83827FB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EF41DE"/>
    <w:multiLevelType w:val="multilevel"/>
    <w:tmpl w:val="77266D22"/>
    <w:lvl w:ilvl="0">
      <w:start w:val="1"/>
      <w:numFmt w:val="upperLett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88196735">
    <w:abstractNumId w:val="0"/>
  </w:num>
  <w:num w:numId="2" w16cid:durableId="840706145">
    <w:abstractNumId w:val="1"/>
  </w:num>
  <w:num w:numId="3" w16cid:durableId="3229712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20"/>
    <w:rsid w:val="00143C20"/>
    <w:rsid w:val="0021581D"/>
    <w:rsid w:val="002366D0"/>
    <w:rsid w:val="002653AE"/>
    <w:rsid w:val="003A1F54"/>
    <w:rsid w:val="004E2538"/>
    <w:rsid w:val="00794FC9"/>
    <w:rsid w:val="00966A2A"/>
    <w:rsid w:val="00B03AAE"/>
    <w:rsid w:val="00CA4AAE"/>
    <w:rsid w:val="00CB2C94"/>
    <w:rsid w:val="00CE7541"/>
    <w:rsid w:val="00DF0127"/>
    <w:rsid w:val="00E44439"/>
    <w:rsid w:val="00F170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0E7D"/>
  <w15:chartTrackingRefBased/>
  <w15:docId w15:val="{6EEE5082-FFF7-4F37-BC29-C58A48FA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C20"/>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C20"/>
    <w:pPr>
      <w:ind w:left="720"/>
      <w:contextualSpacing/>
    </w:pPr>
  </w:style>
  <w:style w:type="paragraph" w:styleId="Revision">
    <w:name w:val="Revision"/>
    <w:hidden/>
    <w:uiPriority w:val="99"/>
    <w:semiHidden/>
    <w:rsid w:val="00F170A8"/>
    <w:pPr>
      <w:spacing w:after="0" w:line="240" w:lineRule="auto"/>
    </w:pPr>
    <w:rPr>
      <w:kern w:val="0"/>
      <w14:ligatures w14:val="none"/>
    </w:rPr>
  </w:style>
  <w:style w:type="paragraph" w:styleId="Header">
    <w:name w:val="header"/>
    <w:basedOn w:val="Normal"/>
    <w:link w:val="HeaderChar"/>
    <w:uiPriority w:val="99"/>
    <w:unhideWhenUsed/>
    <w:rsid w:val="00DF01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0127"/>
    <w:rPr>
      <w:kern w:val="0"/>
      <w14:ligatures w14:val="none"/>
    </w:rPr>
  </w:style>
  <w:style w:type="paragraph" w:styleId="Footer">
    <w:name w:val="footer"/>
    <w:basedOn w:val="Normal"/>
    <w:link w:val="FooterChar"/>
    <w:uiPriority w:val="99"/>
    <w:unhideWhenUsed/>
    <w:rsid w:val="00DF01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012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96029">
      <w:bodyDiv w:val="1"/>
      <w:marLeft w:val="0"/>
      <w:marRight w:val="0"/>
      <w:marTop w:val="0"/>
      <w:marBottom w:val="0"/>
      <w:divBdr>
        <w:top w:val="none" w:sz="0" w:space="0" w:color="auto"/>
        <w:left w:val="none" w:sz="0" w:space="0" w:color="auto"/>
        <w:bottom w:val="none" w:sz="0" w:space="0" w:color="auto"/>
        <w:right w:val="none" w:sz="0" w:space="0" w:color="auto"/>
      </w:divBdr>
    </w:div>
    <w:div w:id="1148477083">
      <w:bodyDiv w:val="1"/>
      <w:marLeft w:val="0"/>
      <w:marRight w:val="0"/>
      <w:marTop w:val="0"/>
      <w:marBottom w:val="0"/>
      <w:divBdr>
        <w:top w:val="none" w:sz="0" w:space="0" w:color="auto"/>
        <w:left w:val="none" w:sz="0" w:space="0" w:color="auto"/>
        <w:bottom w:val="none" w:sz="0" w:space="0" w:color="auto"/>
        <w:right w:val="none" w:sz="0" w:space="0" w:color="auto"/>
      </w:divBdr>
    </w:div>
    <w:div w:id="20942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2718</TotalTime>
  <Pages>2</Pages>
  <Words>591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Tikhonravova</dc:creator>
  <cp:keywords/>
  <dc:description/>
  <cp:lastModifiedBy>Tatiana Tikhonravova</cp:lastModifiedBy>
  <cp:revision>6</cp:revision>
  <dcterms:created xsi:type="dcterms:W3CDTF">2023-06-09T09:52:00Z</dcterms:created>
  <dcterms:modified xsi:type="dcterms:W3CDTF">2023-06-22T13:46:00Z</dcterms:modified>
</cp:coreProperties>
</file>