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49C31" w14:textId="369491E3" w:rsidR="0074357F" w:rsidRPr="008928A1" w:rsidRDefault="002B794C" w:rsidP="00861059">
      <w:pPr>
        <w:pStyle w:val="TitreDocumentNiveau1"/>
      </w:pPr>
      <w:r w:rsidRPr="007F525D">
        <w:rPr>
          <w:noProof/>
          <w:lang w:eastAsia="fr-FR"/>
        </w:rPr>
        <w:drawing>
          <wp:anchor distT="0" distB="0" distL="114300" distR="114300" simplePos="0" relativeHeight="251658240" behindDoc="1" locked="1" layoutInCell="1" allowOverlap="1" wp14:anchorId="523E914C" wp14:editId="2837DF2E">
            <wp:simplePos x="0" y="0"/>
            <wp:positionH relativeFrom="page">
              <wp:align>left</wp:align>
            </wp:positionH>
            <wp:positionV relativeFrom="page">
              <wp:posOffset>-174625</wp:posOffset>
            </wp:positionV>
            <wp:extent cx="7621905" cy="10197465"/>
            <wp:effectExtent l="0" t="0" r="0" b="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8"/>
                    <pic:cNvPicPr preferRelativeResize="0">
                      <a:picLocks noChangeAspect="1"/>
                    </pic:cNvPicPr>
                  </pic:nvPicPr>
                  <pic:blipFill rotWithShape="1">
                    <a:blip r:embed="rId11">
                      <a:extLst>
                        <a:ext uri="{28A0092B-C50C-407E-A947-70E740481C1C}">
                          <a14:useLocalDpi xmlns:a14="http://schemas.microsoft.com/office/drawing/2010/main" val="0"/>
                        </a:ext>
                      </a:extLst>
                    </a:blip>
                    <a:srcRect r="6279" b="6158"/>
                    <a:stretch/>
                  </pic:blipFill>
                  <pic:spPr bwMode="auto">
                    <a:xfrm>
                      <a:off x="0" y="0"/>
                      <a:ext cx="7621905" cy="1019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25D" w:rsidRPr="007F525D">
        <w:rPr>
          <w:noProof/>
          <w:lang w:eastAsia="fr-FR"/>
        </w:rPr>
        <w:drawing>
          <wp:anchor distT="0" distB="0" distL="114300" distR="114300" simplePos="0" relativeHeight="251658241" behindDoc="0" locked="1" layoutInCell="1" allowOverlap="1" wp14:anchorId="7E71F798" wp14:editId="7534790D">
            <wp:simplePos x="0" y="0"/>
            <wp:positionH relativeFrom="page">
              <wp:posOffset>306070</wp:posOffset>
            </wp:positionH>
            <wp:positionV relativeFrom="page">
              <wp:posOffset>659130</wp:posOffset>
            </wp:positionV>
            <wp:extent cx="2458800" cy="720000"/>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8800" cy="720000"/>
                    </a:xfrm>
                    <a:prstGeom prst="rect">
                      <a:avLst/>
                    </a:prstGeom>
                  </pic:spPr>
                </pic:pic>
              </a:graphicData>
            </a:graphic>
            <wp14:sizeRelH relativeFrom="page">
              <wp14:pctWidth>0</wp14:pctWidth>
            </wp14:sizeRelH>
            <wp14:sizeRelV relativeFrom="page">
              <wp14:pctHeight>0</wp14:pctHeight>
            </wp14:sizeRelV>
          </wp:anchor>
        </w:drawing>
      </w:r>
      <w:r w:rsidR="007E2BCB">
        <w:t xml:space="preserve">RAPPORT </w:t>
      </w:r>
      <w:r w:rsidR="001248C4">
        <w:t xml:space="preserve">2022 </w:t>
      </w:r>
      <w:r w:rsidR="009E1217">
        <w:t>Bpifrance Investissement</w:t>
      </w:r>
    </w:p>
    <w:p w14:paraId="651E3EB0" w14:textId="5D826A18" w:rsidR="007B4E4C" w:rsidRPr="008928A1" w:rsidRDefault="003B0150" w:rsidP="00276DD8">
      <w:pPr>
        <w:pStyle w:val="TitreDocumentNiveau3"/>
      </w:pPr>
      <w:r w:rsidRPr="009E1217">
        <w:t>Rapport rédigé en applica</w:t>
      </w:r>
      <w:r w:rsidR="00AC244C" w:rsidRPr="009E1217">
        <w:t>ti</w:t>
      </w:r>
      <w:r w:rsidRPr="009E1217">
        <w:t xml:space="preserve">on de l’article </w:t>
      </w:r>
      <w:r w:rsidR="00861059" w:rsidRPr="009E1217">
        <w:t>29 de la Loi Energie Climat</w:t>
      </w:r>
      <w:r w:rsidR="00947040">
        <w:t xml:space="preserve">, incluant </w:t>
      </w:r>
      <w:r w:rsidR="00C2785E">
        <w:t>l</w:t>
      </w:r>
      <w:r w:rsidR="00947040">
        <w:t xml:space="preserve">es </w:t>
      </w:r>
      <w:r w:rsidR="00BB0288">
        <w:t>indicateurs relatifs au</w:t>
      </w:r>
      <w:r w:rsidR="009B251C">
        <w:t>x</w:t>
      </w:r>
      <w:r w:rsidR="00BB0288">
        <w:t xml:space="preserve"> exigences du règlement </w:t>
      </w:r>
      <w:r w:rsidR="008C4025">
        <w:t>européen</w:t>
      </w:r>
      <w:r w:rsidR="00A47D5D">
        <w:t xml:space="preserve"> SFDR</w:t>
      </w:r>
    </w:p>
    <w:p w14:paraId="722F90AF" w14:textId="77777777" w:rsidR="00D279C7" w:rsidRDefault="00D279C7" w:rsidP="002B794C"/>
    <w:p w14:paraId="6461BE2E" w14:textId="1095E976" w:rsidR="000A2D2B" w:rsidRDefault="00D279C7" w:rsidP="005950D5">
      <w:pPr>
        <w:pStyle w:val="Texteencart"/>
        <w:ind w:left="0"/>
      </w:pPr>
      <w:r>
        <w:br w:type="page"/>
      </w:r>
    </w:p>
    <w:p w14:paraId="229D0951" w14:textId="2DE942B5" w:rsidR="00C60ECA" w:rsidRDefault="00981F60" w:rsidP="00276DD8">
      <w:pPr>
        <w:pStyle w:val="Titre1sansnumrotation"/>
      </w:pPr>
      <w:r>
        <w:lastRenderedPageBreak/>
        <w:t>SOMMAIRE</w:t>
      </w:r>
    </w:p>
    <w:sdt>
      <w:sdtPr>
        <w:rPr>
          <w:rFonts w:ascii="Arial" w:hAnsi="Arial" w:cstheme="minorBidi"/>
          <w:b/>
          <w:bCs w:val="0"/>
          <w:caps w:val="0"/>
          <w:noProof w:val="0"/>
          <w:color w:val="5E514D"/>
          <w:sz w:val="20"/>
        </w:rPr>
        <w:id w:val="855316960"/>
        <w:docPartObj>
          <w:docPartGallery w:val="Table of Contents"/>
          <w:docPartUnique/>
        </w:docPartObj>
      </w:sdtPr>
      <w:sdtEndPr>
        <w:rPr>
          <w:b w:val="0"/>
        </w:rPr>
      </w:sdtEndPr>
      <w:sdtContent>
        <w:p w14:paraId="28217B4C" w14:textId="64C9A94F" w:rsidR="00247B14" w:rsidRDefault="00C60ECA">
          <w:pPr>
            <w:pStyle w:val="TM1"/>
            <w:rPr>
              <w:rFonts w:asciiTheme="minorHAnsi" w:eastAsiaTheme="minorEastAsia" w:hAnsiTheme="minorHAnsi" w:cstheme="minorBidi"/>
              <w:bCs w:val="0"/>
              <w:caps w:val="0"/>
              <w:color w:val="auto"/>
              <w:sz w:val="22"/>
              <w:szCs w:val="22"/>
              <w:lang w:eastAsia="fr-FR"/>
            </w:rPr>
          </w:pPr>
          <w:r>
            <w:fldChar w:fldCharType="begin"/>
          </w:r>
          <w:r>
            <w:instrText xml:space="preserve"> TOC \o "1-3" \h \z \u </w:instrText>
          </w:r>
          <w:r>
            <w:fldChar w:fldCharType="separate"/>
          </w:r>
          <w:hyperlink w:anchor="_Toc139042714" w:history="1">
            <w:r w:rsidR="00247B14" w:rsidRPr="009956B7">
              <w:rPr>
                <w:rStyle w:val="Lienhypertexte"/>
              </w:rPr>
              <w:t>1. Informations relatives a Bpifrance investissement sur la prise en compte des enjeux ESG</w:t>
            </w:r>
            <w:r w:rsidR="00247B14">
              <w:rPr>
                <w:webHidden/>
              </w:rPr>
              <w:tab/>
            </w:r>
            <w:r w:rsidR="00247B14">
              <w:rPr>
                <w:webHidden/>
              </w:rPr>
              <w:fldChar w:fldCharType="begin"/>
            </w:r>
            <w:r w:rsidR="00247B14">
              <w:rPr>
                <w:webHidden/>
              </w:rPr>
              <w:instrText xml:space="preserve"> PAGEREF _Toc139042714 \h </w:instrText>
            </w:r>
            <w:r w:rsidR="00247B14">
              <w:rPr>
                <w:webHidden/>
              </w:rPr>
            </w:r>
            <w:r w:rsidR="00247B14">
              <w:rPr>
                <w:webHidden/>
              </w:rPr>
              <w:fldChar w:fldCharType="separate"/>
            </w:r>
            <w:r w:rsidR="00247B14">
              <w:rPr>
                <w:webHidden/>
              </w:rPr>
              <w:t>4</w:t>
            </w:r>
            <w:r w:rsidR="00247B14">
              <w:rPr>
                <w:webHidden/>
              </w:rPr>
              <w:fldChar w:fldCharType="end"/>
            </w:r>
          </w:hyperlink>
        </w:p>
        <w:p w14:paraId="2783D213" w14:textId="093F77D0"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15" w:history="1">
            <w:r w:rsidRPr="009956B7">
              <w:rPr>
                <w:rStyle w:val="Lienhypertexte"/>
                <w:rFonts w:ascii="Impact" w:hAnsi="Impact"/>
                <w:noProof/>
              </w:rPr>
              <w:t>1.1.</w:t>
            </w:r>
            <w:r w:rsidRPr="009956B7">
              <w:rPr>
                <w:rStyle w:val="Lienhypertexte"/>
                <w:noProof/>
              </w:rPr>
              <w:t xml:space="preserve"> Résumé de la démarche générale de l'entité sur la prise en compte de critères ESG</w:t>
            </w:r>
            <w:r>
              <w:rPr>
                <w:noProof/>
                <w:webHidden/>
              </w:rPr>
              <w:tab/>
            </w:r>
            <w:r>
              <w:rPr>
                <w:noProof/>
                <w:webHidden/>
              </w:rPr>
              <w:fldChar w:fldCharType="begin"/>
            </w:r>
            <w:r>
              <w:rPr>
                <w:noProof/>
                <w:webHidden/>
              </w:rPr>
              <w:instrText xml:space="preserve"> PAGEREF _Toc139042715 \h </w:instrText>
            </w:r>
            <w:r>
              <w:rPr>
                <w:noProof/>
                <w:webHidden/>
              </w:rPr>
            </w:r>
            <w:r>
              <w:rPr>
                <w:noProof/>
                <w:webHidden/>
              </w:rPr>
              <w:fldChar w:fldCharType="separate"/>
            </w:r>
            <w:r>
              <w:rPr>
                <w:noProof/>
                <w:webHidden/>
              </w:rPr>
              <w:t>4</w:t>
            </w:r>
            <w:r>
              <w:rPr>
                <w:noProof/>
                <w:webHidden/>
              </w:rPr>
              <w:fldChar w:fldCharType="end"/>
            </w:r>
          </w:hyperlink>
        </w:p>
        <w:p w14:paraId="071EF6FA" w14:textId="5A292DAA"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16" w:history="1">
            <w:r w:rsidRPr="009956B7">
              <w:rPr>
                <w:rStyle w:val="Lienhypertexte"/>
                <w:rFonts w:ascii="Impact" w:hAnsi="Impact"/>
                <w:noProof/>
              </w:rPr>
              <w:t>1.2.</w:t>
            </w:r>
            <w:r w:rsidRPr="009956B7">
              <w:rPr>
                <w:rStyle w:val="Lienhypertexte"/>
                <w:noProof/>
              </w:rPr>
              <w:t xml:space="preserve"> Information aux souscripteurs et clients sur les critères relatifs aux objectifs ESG pris en compte dans la politique et la stratégie d'investissement</w:t>
            </w:r>
            <w:r>
              <w:rPr>
                <w:noProof/>
                <w:webHidden/>
              </w:rPr>
              <w:tab/>
            </w:r>
            <w:r>
              <w:rPr>
                <w:noProof/>
                <w:webHidden/>
              </w:rPr>
              <w:fldChar w:fldCharType="begin"/>
            </w:r>
            <w:r>
              <w:rPr>
                <w:noProof/>
                <w:webHidden/>
              </w:rPr>
              <w:instrText xml:space="preserve"> PAGEREF _Toc139042716 \h </w:instrText>
            </w:r>
            <w:r>
              <w:rPr>
                <w:noProof/>
                <w:webHidden/>
              </w:rPr>
            </w:r>
            <w:r>
              <w:rPr>
                <w:noProof/>
                <w:webHidden/>
              </w:rPr>
              <w:fldChar w:fldCharType="separate"/>
            </w:r>
            <w:r>
              <w:rPr>
                <w:noProof/>
                <w:webHidden/>
              </w:rPr>
              <w:t>5</w:t>
            </w:r>
            <w:r>
              <w:rPr>
                <w:noProof/>
                <w:webHidden/>
              </w:rPr>
              <w:fldChar w:fldCharType="end"/>
            </w:r>
          </w:hyperlink>
        </w:p>
        <w:p w14:paraId="49F580A7" w14:textId="74C4EC8A"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17" w:history="1">
            <w:r w:rsidRPr="009956B7">
              <w:rPr>
                <w:rStyle w:val="Lienhypertexte"/>
                <w:rFonts w:ascii="Impact" w:hAnsi="Impact"/>
                <w:noProof/>
              </w:rPr>
              <w:t>1.3.</w:t>
            </w:r>
            <w:r w:rsidRPr="009956B7">
              <w:rPr>
                <w:rStyle w:val="Lienhypertexte"/>
                <w:noProof/>
              </w:rPr>
              <w:t xml:space="preserve"> Adhésion de Bpifrance à des chartes, codes, initiatives prenant en compte les critères ESG</w:t>
            </w:r>
            <w:r>
              <w:rPr>
                <w:noProof/>
                <w:webHidden/>
              </w:rPr>
              <w:tab/>
            </w:r>
            <w:r>
              <w:rPr>
                <w:noProof/>
                <w:webHidden/>
              </w:rPr>
              <w:fldChar w:fldCharType="begin"/>
            </w:r>
            <w:r>
              <w:rPr>
                <w:noProof/>
                <w:webHidden/>
              </w:rPr>
              <w:instrText xml:space="preserve"> PAGEREF _Toc139042717 \h </w:instrText>
            </w:r>
            <w:r>
              <w:rPr>
                <w:noProof/>
                <w:webHidden/>
              </w:rPr>
            </w:r>
            <w:r>
              <w:rPr>
                <w:noProof/>
                <w:webHidden/>
              </w:rPr>
              <w:fldChar w:fldCharType="separate"/>
            </w:r>
            <w:r>
              <w:rPr>
                <w:noProof/>
                <w:webHidden/>
              </w:rPr>
              <w:t>6</w:t>
            </w:r>
            <w:r>
              <w:rPr>
                <w:noProof/>
                <w:webHidden/>
              </w:rPr>
              <w:fldChar w:fldCharType="end"/>
            </w:r>
          </w:hyperlink>
        </w:p>
        <w:p w14:paraId="6A556A78" w14:textId="57C1B8A9" w:rsidR="00247B14" w:rsidRDefault="00247B14">
          <w:pPr>
            <w:pStyle w:val="TM1"/>
            <w:rPr>
              <w:rFonts w:asciiTheme="minorHAnsi" w:eastAsiaTheme="minorEastAsia" w:hAnsiTheme="minorHAnsi" w:cstheme="minorBidi"/>
              <w:bCs w:val="0"/>
              <w:caps w:val="0"/>
              <w:color w:val="auto"/>
              <w:sz w:val="22"/>
              <w:szCs w:val="22"/>
              <w:lang w:eastAsia="fr-FR"/>
            </w:rPr>
          </w:pPr>
          <w:hyperlink w:anchor="_Toc139042718" w:history="1">
            <w:r w:rsidRPr="009956B7">
              <w:rPr>
                <w:rStyle w:val="Lienhypertexte"/>
              </w:rPr>
              <w:t>2. Moyens deployes par Bpifrance Investissement</w:t>
            </w:r>
            <w:r>
              <w:rPr>
                <w:webHidden/>
              </w:rPr>
              <w:tab/>
            </w:r>
            <w:r>
              <w:rPr>
                <w:webHidden/>
              </w:rPr>
              <w:fldChar w:fldCharType="begin"/>
            </w:r>
            <w:r>
              <w:rPr>
                <w:webHidden/>
              </w:rPr>
              <w:instrText xml:space="preserve"> PAGEREF _Toc139042718 \h </w:instrText>
            </w:r>
            <w:r>
              <w:rPr>
                <w:webHidden/>
              </w:rPr>
            </w:r>
            <w:r>
              <w:rPr>
                <w:webHidden/>
              </w:rPr>
              <w:fldChar w:fldCharType="separate"/>
            </w:r>
            <w:r>
              <w:rPr>
                <w:webHidden/>
              </w:rPr>
              <w:t>7</w:t>
            </w:r>
            <w:r>
              <w:rPr>
                <w:webHidden/>
              </w:rPr>
              <w:fldChar w:fldCharType="end"/>
            </w:r>
          </w:hyperlink>
        </w:p>
        <w:p w14:paraId="69E27BB2" w14:textId="6EF6FEB7"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19" w:history="1">
            <w:r w:rsidRPr="009956B7">
              <w:rPr>
                <w:rStyle w:val="Lienhypertexte"/>
                <w:rFonts w:ascii="Impact" w:hAnsi="Impact"/>
                <w:noProof/>
              </w:rPr>
              <w:t>2.1.</w:t>
            </w:r>
            <w:r w:rsidRPr="009956B7">
              <w:rPr>
                <w:rStyle w:val="Lienhypertexte"/>
                <w:noProof/>
              </w:rPr>
              <w:t xml:space="preserve"> Ressources humaines</w:t>
            </w:r>
            <w:r>
              <w:rPr>
                <w:noProof/>
                <w:webHidden/>
              </w:rPr>
              <w:tab/>
            </w:r>
            <w:r>
              <w:rPr>
                <w:noProof/>
                <w:webHidden/>
              </w:rPr>
              <w:fldChar w:fldCharType="begin"/>
            </w:r>
            <w:r>
              <w:rPr>
                <w:noProof/>
                <w:webHidden/>
              </w:rPr>
              <w:instrText xml:space="preserve"> PAGEREF _Toc139042719 \h </w:instrText>
            </w:r>
            <w:r>
              <w:rPr>
                <w:noProof/>
                <w:webHidden/>
              </w:rPr>
            </w:r>
            <w:r>
              <w:rPr>
                <w:noProof/>
                <w:webHidden/>
              </w:rPr>
              <w:fldChar w:fldCharType="separate"/>
            </w:r>
            <w:r>
              <w:rPr>
                <w:noProof/>
                <w:webHidden/>
              </w:rPr>
              <w:t>7</w:t>
            </w:r>
            <w:r>
              <w:rPr>
                <w:noProof/>
                <w:webHidden/>
              </w:rPr>
              <w:fldChar w:fldCharType="end"/>
            </w:r>
          </w:hyperlink>
        </w:p>
        <w:p w14:paraId="30B05067" w14:textId="296BC71F"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20" w:history="1">
            <w:r w:rsidRPr="009956B7">
              <w:rPr>
                <w:rStyle w:val="Lienhypertexte"/>
                <w:rFonts w:ascii="Impact" w:hAnsi="Impact"/>
                <w:noProof/>
              </w:rPr>
              <w:t>2.2.</w:t>
            </w:r>
            <w:r w:rsidRPr="009956B7">
              <w:rPr>
                <w:rStyle w:val="Lienhypertexte"/>
                <w:noProof/>
              </w:rPr>
              <w:t xml:space="preserve"> Ressources techniques</w:t>
            </w:r>
            <w:r>
              <w:rPr>
                <w:noProof/>
                <w:webHidden/>
              </w:rPr>
              <w:tab/>
            </w:r>
            <w:r>
              <w:rPr>
                <w:noProof/>
                <w:webHidden/>
              </w:rPr>
              <w:fldChar w:fldCharType="begin"/>
            </w:r>
            <w:r>
              <w:rPr>
                <w:noProof/>
                <w:webHidden/>
              </w:rPr>
              <w:instrText xml:space="preserve"> PAGEREF _Toc139042720 \h </w:instrText>
            </w:r>
            <w:r>
              <w:rPr>
                <w:noProof/>
                <w:webHidden/>
              </w:rPr>
            </w:r>
            <w:r>
              <w:rPr>
                <w:noProof/>
                <w:webHidden/>
              </w:rPr>
              <w:fldChar w:fldCharType="separate"/>
            </w:r>
            <w:r>
              <w:rPr>
                <w:noProof/>
                <w:webHidden/>
              </w:rPr>
              <w:t>7</w:t>
            </w:r>
            <w:r>
              <w:rPr>
                <w:noProof/>
                <w:webHidden/>
              </w:rPr>
              <w:fldChar w:fldCharType="end"/>
            </w:r>
          </w:hyperlink>
        </w:p>
        <w:p w14:paraId="7709591B" w14:textId="2E92A6EB" w:rsidR="00247B14" w:rsidRDefault="00247B14">
          <w:pPr>
            <w:pStyle w:val="TM3"/>
            <w:rPr>
              <w:rFonts w:asciiTheme="minorHAnsi" w:eastAsiaTheme="minorEastAsia" w:hAnsiTheme="minorHAnsi" w:cstheme="minorBidi"/>
              <w:iCs w:val="0"/>
              <w:color w:val="auto"/>
              <w:sz w:val="22"/>
              <w:szCs w:val="22"/>
              <w:lang w:eastAsia="fr-FR"/>
            </w:rPr>
          </w:pPr>
          <w:hyperlink w:anchor="_Toc139042721" w:history="1">
            <w:r w:rsidRPr="009956B7">
              <w:rPr>
                <w:rStyle w:val="Lienhypertexte"/>
                <w:rFonts w:ascii="Impact" w:hAnsi="Impact"/>
              </w:rPr>
              <w:t>2.2.1.</w:t>
            </w:r>
            <w:r w:rsidRPr="009956B7">
              <w:rPr>
                <w:rStyle w:val="Lienhypertexte"/>
              </w:rPr>
              <w:t xml:space="preserve"> Ressources techniques dédiées à l’analyse ESG préinvestissement</w:t>
            </w:r>
            <w:r>
              <w:rPr>
                <w:webHidden/>
              </w:rPr>
              <w:tab/>
            </w:r>
            <w:r>
              <w:rPr>
                <w:webHidden/>
              </w:rPr>
              <w:fldChar w:fldCharType="begin"/>
            </w:r>
            <w:r>
              <w:rPr>
                <w:webHidden/>
              </w:rPr>
              <w:instrText xml:space="preserve"> PAGEREF _Toc139042721 \h </w:instrText>
            </w:r>
            <w:r>
              <w:rPr>
                <w:webHidden/>
              </w:rPr>
            </w:r>
            <w:r>
              <w:rPr>
                <w:webHidden/>
              </w:rPr>
              <w:fldChar w:fldCharType="separate"/>
            </w:r>
            <w:r>
              <w:rPr>
                <w:webHidden/>
              </w:rPr>
              <w:t>7</w:t>
            </w:r>
            <w:r>
              <w:rPr>
                <w:webHidden/>
              </w:rPr>
              <w:fldChar w:fldCharType="end"/>
            </w:r>
          </w:hyperlink>
        </w:p>
        <w:p w14:paraId="3CAC4AE8" w14:textId="62619AA8" w:rsidR="00247B14" w:rsidRDefault="00247B14">
          <w:pPr>
            <w:pStyle w:val="TM3"/>
            <w:rPr>
              <w:rFonts w:asciiTheme="minorHAnsi" w:eastAsiaTheme="minorEastAsia" w:hAnsiTheme="minorHAnsi" w:cstheme="minorBidi"/>
              <w:iCs w:val="0"/>
              <w:color w:val="auto"/>
              <w:sz w:val="22"/>
              <w:szCs w:val="22"/>
              <w:lang w:eastAsia="fr-FR"/>
            </w:rPr>
          </w:pPr>
          <w:hyperlink w:anchor="_Toc139042722" w:history="1">
            <w:r w:rsidRPr="009956B7">
              <w:rPr>
                <w:rStyle w:val="Lienhypertexte"/>
                <w:rFonts w:ascii="Impact" w:hAnsi="Impact"/>
              </w:rPr>
              <w:t>2.2.2.</w:t>
            </w:r>
            <w:r w:rsidRPr="009956B7">
              <w:rPr>
                <w:rStyle w:val="Lienhypertexte"/>
              </w:rPr>
              <w:t xml:space="preserve"> Ressources techniques dédiées au suivi des investissements</w:t>
            </w:r>
            <w:r>
              <w:rPr>
                <w:webHidden/>
              </w:rPr>
              <w:tab/>
            </w:r>
            <w:r>
              <w:rPr>
                <w:webHidden/>
              </w:rPr>
              <w:fldChar w:fldCharType="begin"/>
            </w:r>
            <w:r>
              <w:rPr>
                <w:webHidden/>
              </w:rPr>
              <w:instrText xml:space="preserve"> PAGEREF _Toc139042722 \h </w:instrText>
            </w:r>
            <w:r>
              <w:rPr>
                <w:webHidden/>
              </w:rPr>
            </w:r>
            <w:r>
              <w:rPr>
                <w:webHidden/>
              </w:rPr>
              <w:fldChar w:fldCharType="separate"/>
            </w:r>
            <w:r>
              <w:rPr>
                <w:webHidden/>
              </w:rPr>
              <w:t>8</w:t>
            </w:r>
            <w:r>
              <w:rPr>
                <w:webHidden/>
              </w:rPr>
              <w:fldChar w:fldCharType="end"/>
            </w:r>
          </w:hyperlink>
        </w:p>
        <w:p w14:paraId="38C287EA" w14:textId="06060A9F"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23" w:history="1">
            <w:r w:rsidRPr="009956B7">
              <w:rPr>
                <w:rStyle w:val="Lienhypertexte"/>
                <w:rFonts w:ascii="Impact" w:hAnsi="Impact"/>
                <w:noProof/>
              </w:rPr>
              <w:t>2.3.</w:t>
            </w:r>
            <w:r w:rsidRPr="009956B7">
              <w:rPr>
                <w:rStyle w:val="Lienhypertexte"/>
                <w:noProof/>
              </w:rPr>
              <w:t xml:space="preserve"> Ressources financières et renforcement des capacités internes</w:t>
            </w:r>
            <w:r>
              <w:rPr>
                <w:noProof/>
                <w:webHidden/>
              </w:rPr>
              <w:tab/>
            </w:r>
            <w:r>
              <w:rPr>
                <w:noProof/>
                <w:webHidden/>
              </w:rPr>
              <w:fldChar w:fldCharType="begin"/>
            </w:r>
            <w:r>
              <w:rPr>
                <w:noProof/>
                <w:webHidden/>
              </w:rPr>
              <w:instrText xml:space="preserve"> PAGEREF _Toc139042723 \h </w:instrText>
            </w:r>
            <w:r>
              <w:rPr>
                <w:noProof/>
                <w:webHidden/>
              </w:rPr>
            </w:r>
            <w:r>
              <w:rPr>
                <w:noProof/>
                <w:webHidden/>
              </w:rPr>
              <w:fldChar w:fldCharType="separate"/>
            </w:r>
            <w:r>
              <w:rPr>
                <w:noProof/>
                <w:webHidden/>
              </w:rPr>
              <w:t>8</w:t>
            </w:r>
            <w:r>
              <w:rPr>
                <w:noProof/>
                <w:webHidden/>
              </w:rPr>
              <w:fldChar w:fldCharType="end"/>
            </w:r>
          </w:hyperlink>
        </w:p>
        <w:p w14:paraId="19E4E97C" w14:textId="4C8726DA" w:rsidR="00247B14" w:rsidRDefault="00247B14">
          <w:pPr>
            <w:pStyle w:val="TM1"/>
            <w:rPr>
              <w:rFonts w:asciiTheme="minorHAnsi" w:eastAsiaTheme="minorEastAsia" w:hAnsiTheme="minorHAnsi" w:cstheme="minorBidi"/>
              <w:bCs w:val="0"/>
              <w:caps w:val="0"/>
              <w:color w:val="auto"/>
              <w:sz w:val="22"/>
              <w:szCs w:val="22"/>
              <w:lang w:eastAsia="fr-FR"/>
            </w:rPr>
          </w:pPr>
          <w:hyperlink w:anchor="_Toc139042724" w:history="1">
            <w:r w:rsidRPr="009956B7">
              <w:rPr>
                <w:rStyle w:val="Lienhypertexte"/>
              </w:rPr>
              <w:t>3. Prise en compte des enjeux ESG dans le fonctionnement de Bpifrance Investissement</w:t>
            </w:r>
            <w:r>
              <w:rPr>
                <w:webHidden/>
              </w:rPr>
              <w:tab/>
            </w:r>
            <w:r>
              <w:rPr>
                <w:webHidden/>
              </w:rPr>
              <w:fldChar w:fldCharType="begin"/>
            </w:r>
            <w:r>
              <w:rPr>
                <w:webHidden/>
              </w:rPr>
              <w:instrText xml:space="preserve"> PAGEREF _Toc139042724 \h </w:instrText>
            </w:r>
            <w:r>
              <w:rPr>
                <w:webHidden/>
              </w:rPr>
            </w:r>
            <w:r>
              <w:rPr>
                <w:webHidden/>
              </w:rPr>
              <w:fldChar w:fldCharType="separate"/>
            </w:r>
            <w:r>
              <w:rPr>
                <w:webHidden/>
              </w:rPr>
              <w:t>9</w:t>
            </w:r>
            <w:r>
              <w:rPr>
                <w:webHidden/>
              </w:rPr>
              <w:fldChar w:fldCharType="end"/>
            </w:r>
          </w:hyperlink>
        </w:p>
        <w:p w14:paraId="7DDE0CD7" w14:textId="021B25C2"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25" w:history="1">
            <w:r w:rsidRPr="009956B7">
              <w:rPr>
                <w:rStyle w:val="Lienhypertexte"/>
                <w:rFonts w:ascii="Impact" w:hAnsi="Impact"/>
                <w:noProof/>
              </w:rPr>
              <w:t>3.1.</w:t>
            </w:r>
            <w:r w:rsidRPr="009956B7">
              <w:rPr>
                <w:rStyle w:val="Lienhypertexte"/>
                <w:noProof/>
              </w:rPr>
              <w:t xml:space="preserve"> Connaissances, compétences et expérience des instances de gouvernance</w:t>
            </w:r>
            <w:r>
              <w:rPr>
                <w:noProof/>
                <w:webHidden/>
              </w:rPr>
              <w:tab/>
            </w:r>
            <w:r>
              <w:rPr>
                <w:noProof/>
                <w:webHidden/>
              </w:rPr>
              <w:fldChar w:fldCharType="begin"/>
            </w:r>
            <w:r>
              <w:rPr>
                <w:noProof/>
                <w:webHidden/>
              </w:rPr>
              <w:instrText xml:space="preserve"> PAGEREF _Toc139042725 \h </w:instrText>
            </w:r>
            <w:r>
              <w:rPr>
                <w:noProof/>
                <w:webHidden/>
              </w:rPr>
            </w:r>
            <w:r>
              <w:rPr>
                <w:noProof/>
                <w:webHidden/>
              </w:rPr>
              <w:fldChar w:fldCharType="separate"/>
            </w:r>
            <w:r>
              <w:rPr>
                <w:noProof/>
                <w:webHidden/>
              </w:rPr>
              <w:t>9</w:t>
            </w:r>
            <w:r>
              <w:rPr>
                <w:noProof/>
                <w:webHidden/>
              </w:rPr>
              <w:fldChar w:fldCharType="end"/>
            </w:r>
          </w:hyperlink>
        </w:p>
        <w:p w14:paraId="4A9F894B" w14:textId="35606DCF"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26" w:history="1">
            <w:r w:rsidRPr="009956B7">
              <w:rPr>
                <w:rStyle w:val="Lienhypertexte"/>
                <w:rFonts w:ascii="Impact" w:hAnsi="Impact"/>
                <w:noProof/>
              </w:rPr>
              <w:t>3.2.</w:t>
            </w:r>
            <w:r w:rsidRPr="009956B7">
              <w:rPr>
                <w:rStyle w:val="Lienhypertexte"/>
                <w:noProof/>
              </w:rPr>
              <w:t xml:space="preserve"> Politique de rémunération et intégration des critères des risques en matière de durabilité</w:t>
            </w:r>
            <w:r>
              <w:rPr>
                <w:noProof/>
                <w:webHidden/>
              </w:rPr>
              <w:tab/>
            </w:r>
            <w:r>
              <w:rPr>
                <w:noProof/>
                <w:webHidden/>
              </w:rPr>
              <w:fldChar w:fldCharType="begin"/>
            </w:r>
            <w:r>
              <w:rPr>
                <w:noProof/>
                <w:webHidden/>
              </w:rPr>
              <w:instrText xml:space="preserve"> PAGEREF _Toc139042726 \h </w:instrText>
            </w:r>
            <w:r>
              <w:rPr>
                <w:noProof/>
                <w:webHidden/>
              </w:rPr>
            </w:r>
            <w:r>
              <w:rPr>
                <w:noProof/>
                <w:webHidden/>
              </w:rPr>
              <w:fldChar w:fldCharType="separate"/>
            </w:r>
            <w:r>
              <w:rPr>
                <w:noProof/>
                <w:webHidden/>
              </w:rPr>
              <w:t>9</w:t>
            </w:r>
            <w:r>
              <w:rPr>
                <w:noProof/>
                <w:webHidden/>
              </w:rPr>
              <w:fldChar w:fldCharType="end"/>
            </w:r>
          </w:hyperlink>
        </w:p>
        <w:p w14:paraId="6562DF61" w14:textId="37D84924"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27" w:history="1">
            <w:r w:rsidRPr="009956B7">
              <w:rPr>
                <w:rStyle w:val="Lienhypertexte"/>
                <w:rFonts w:ascii="Impact" w:hAnsi="Impact"/>
                <w:noProof/>
              </w:rPr>
              <w:t>3.3.</w:t>
            </w:r>
            <w:r w:rsidRPr="009956B7">
              <w:rPr>
                <w:rStyle w:val="Lienhypertexte"/>
                <w:noProof/>
              </w:rPr>
              <w:t xml:space="preserve"> Intégration des critères ESG dans le règlement interne du conseil d'administration</w:t>
            </w:r>
            <w:r>
              <w:rPr>
                <w:noProof/>
                <w:webHidden/>
              </w:rPr>
              <w:tab/>
            </w:r>
            <w:r>
              <w:rPr>
                <w:noProof/>
                <w:webHidden/>
              </w:rPr>
              <w:fldChar w:fldCharType="begin"/>
            </w:r>
            <w:r>
              <w:rPr>
                <w:noProof/>
                <w:webHidden/>
              </w:rPr>
              <w:instrText xml:space="preserve"> PAGEREF _Toc139042727 \h </w:instrText>
            </w:r>
            <w:r>
              <w:rPr>
                <w:noProof/>
                <w:webHidden/>
              </w:rPr>
            </w:r>
            <w:r>
              <w:rPr>
                <w:noProof/>
                <w:webHidden/>
              </w:rPr>
              <w:fldChar w:fldCharType="separate"/>
            </w:r>
            <w:r>
              <w:rPr>
                <w:noProof/>
                <w:webHidden/>
              </w:rPr>
              <w:t>10</w:t>
            </w:r>
            <w:r>
              <w:rPr>
                <w:noProof/>
                <w:webHidden/>
              </w:rPr>
              <w:fldChar w:fldCharType="end"/>
            </w:r>
          </w:hyperlink>
        </w:p>
        <w:p w14:paraId="1D2083FA" w14:textId="6C1F65C1"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28" w:history="1">
            <w:r w:rsidRPr="009956B7">
              <w:rPr>
                <w:rStyle w:val="Lienhypertexte"/>
                <w:rFonts w:ascii="Impact" w:hAnsi="Impact"/>
                <w:noProof/>
              </w:rPr>
              <w:t>3.4.</w:t>
            </w:r>
            <w:r w:rsidRPr="009956B7">
              <w:rPr>
                <w:rStyle w:val="Lienhypertexte"/>
                <w:noProof/>
              </w:rPr>
              <w:t xml:space="preserve"> Objectif de représentation équilibrée des femmes et des hommes (Loi Rixain)</w:t>
            </w:r>
            <w:r>
              <w:rPr>
                <w:noProof/>
                <w:webHidden/>
              </w:rPr>
              <w:tab/>
            </w:r>
            <w:r>
              <w:rPr>
                <w:noProof/>
                <w:webHidden/>
              </w:rPr>
              <w:fldChar w:fldCharType="begin"/>
            </w:r>
            <w:r>
              <w:rPr>
                <w:noProof/>
                <w:webHidden/>
              </w:rPr>
              <w:instrText xml:space="preserve"> PAGEREF _Toc139042728 \h </w:instrText>
            </w:r>
            <w:r>
              <w:rPr>
                <w:noProof/>
                <w:webHidden/>
              </w:rPr>
            </w:r>
            <w:r>
              <w:rPr>
                <w:noProof/>
                <w:webHidden/>
              </w:rPr>
              <w:fldChar w:fldCharType="separate"/>
            </w:r>
            <w:r>
              <w:rPr>
                <w:noProof/>
                <w:webHidden/>
              </w:rPr>
              <w:t>10</w:t>
            </w:r>
            <w:r>
              <w:rPr>
                <w:noProof/>
                <w:webHidden/>
              </w:rPr>
              <w:fldChar w:fldCharType="end"/>
            </w:r>
          </w:hyperlink>
        </w:p>
        <w:p w14:paraId="0373CB57" w14:textId="1235B58F" w:rsidR="00247B14" w:rsidRDefault="00247B14">
          <w:pPr>
            <w:pStyle w:val="TM1"/>
            <w:rPr>
              <w:rFonts w:asciiTheme="minorHAnsi" w:eastAsiaTheme="minorEastAsia" w:hAnsiTheme="minorHAnsi" w:cstheme="minorBidi"/>
              <w:bCs w:val="0"/>
              <w:caps w:val="0"/>
              <w:color w:val="auto"/>
              <w:sz w:val="22"/>
              <w:szCs w:val="22"/>
              <w:lang w:eastAsia="fr-FR"/>
            </w:rPr>
          </w:pPr>
          <w:hyperlink w:anchor="_Toc139042729" w:history="1">
            <w:r w:rsidRPr="009956B7">
              <w:rPr>
                <w:rStyle w:val="Lienhypertexte"/>
              </w:rPr>
              <w:t>4. Stratégie d'engagement et mise en oeuvre</w:t>
            </w:r>
            <w:r>
              <w:rPr>
                <w:webHidden/>
              </w:rPr>
              <w:tab/>
            </w:r>
            <w:r>
              <w:rPr>
                <w:webHidden/>
              </w:rPr>
              <w:fldChar w:fldCharType="begin"/>
            </w:r>
            <w:r>
              <w:rPr>
                <w:webHidden/>
              </w:rPr>
              <w:instrText xml:space="preserve"> PAGEREF _Toc139042729 \h </w:instrText>
            </w:r>
            <w:r>
              <w:rPr>
                <w:webHidden/>
              </w:rPr>
            </w:r>
            <w:r>
              <w:rPr>
                <w:webHidden/>
              </w:rPr>
              <w:fldChar w:fldCharType="separate"/>
            </w:r>
            <w:r>
              <w:rPr>
                <w:webHidden/>
              </w:rPr>
              <w:t>12</w:t>
            </w:r>
            <w:r>
              <w:rPr>
                <w:webHidden/>
              </w:rPr>
              <w:fldChar w:fldCharType="end"/>
            </w:r>
          </w:hyperlink>
        </w:p>
        <w:p w14:paraId="0C4C80F4" w14:textId="429255B4"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30" w:history="1">
            <w:r w:rsidRPr="009956B7">
              <w:rPr>
                <w:rStyle w:val="Lienhypertexte"/>
                <w:rFonts w:ascii="Impact" w:hAnsi="Impact"/>
                <w:noProof/>
              </w:rPr>
              <w:t>4.1.</w:t>
            </w:r>
            <w:r w:rsidRPr="009956B7">
              <w:rPr>
                <w:rStyle w:val="Lienhypertexte"/>
                <w:noProof/>
              </w:rPr>
              <w:t xml:space="preserve"> Stratégie d’engagement</w:t>
            </w:r>
            <w:r>
              <w:rPr>
                <w:noProof/>
                <w:webHidden/>
              </w:rPr>
              <w:tab/>
            </w:r>
            <w:r>
              <w:rPr>
                <w:noProof/>
                <w:webHidden/>
              </w:rPr>
              <w:fldChar w:fldCharType="begin"/>
            </w:r>
            <w:r>
              <w:rPr>
                <w:noProof/>
                <w:webHidden/>
              </w:rPr>
              <w:instrText xml:space="preserve"> PAGEREF _Toc139042730 \h </w:instrText>
            </w:r>
            <w:r>
              <w:rPr>
                <w:noProof/>
                <w:webHidden/>
              </w:rPr>
            </w:r>
            <w:r>
              <w:rPr>
                <w:noProof/>
                <w:webHidden/>
              </w:rPr>
              <w:fldChar w:fldCharType="separate"/>
            </w:r>
            <w:r>
              <w:rPr>
                <w:noProof/>
                <w:webHidden/>
              </w:rPr>
              <w:t>12</w:t>
            </w:r>
            <w:r>
              <w:rPr>
                <w:noProof/>
                <w:webHidden/>
              </w:rPr>
              <w:fldChar w:fldCharType="end"/>
            </w:r>
          </w:hyperlink>
        </w:p>
        <w:p w14:paraId="6DFBDAE4" w14:textId="58CBD808"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31" w:history="1">
            <w:r w:rsidRPr="009956B7">
              <w:rPr>
                <w:rStyle w:val="Lienhypertexte"/>
                <w:rFonts w:ascii="Impact" w:hAnsi="Impact"/>
                <w:noProof/>
              </w:rPr>
              <w:t>4.2.</w:t>
            </w:r>
            <w:r w:rsidRPr="009956B7">
              <w:rPr>
                <w:rStyle w:val="Lienhypertexte"/>
                <w:noProof/>
              </w:rPr>
              <w:t xml:space="preserve"> Présentation et bilan de la politique de vote</w:t>
            </w:r>
            <w:r>
              <w:rPr>
                <w:noProof/>
                <w:webHidden/>
              </w:rPr>
              <w:tab/>
            </w:r>
            <w:r>
              <w:rPr>
                <w:noProof/>
                <w:webHidden/>
              </w:rPr>
              <w:fldChar w:fldCharType="begin"/>
            </w:r>
            <w:r>
              <w:rPr>
                <w:noProof/>
                <w:webHidden/>
              </w:rPr>
              <w:instrText xml:space="preserve"> PAGEREF _Toc139042731 \h </w:instrText>
            </w:r>
            <w:r>
              <w:rPr>
                <w:noProof/>
                <w:webHidden/>
              </w:rPr>
            </w:r>
            <w:r>
              <w:rPr>
                <w:noProof/>
                <w:webHidden/>
              </w:rPr>
              <w:fldChar w:fldCharType="separate"/>
            </w:r>
            <w:r>
              <w:rPr>
                <w:noProof/>
                <w:webHidden/>
              </w:rPr>
              <w:t>13</w:t>
            </w:r>
            <w:r>
              <w:rPr>
                <w:noProof/>
                <w:webHidden/>
              </w:rPr>
              <w:fldChar w:fldCharType="end"/>
            </w:r>
          </w:hyperlink>
        </w:p>
        <w:p w14:paraId="72095D41" w14:textId="0F98B083"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32" w:history="1">
            <w:r w:rsidRPr="009956B7">
              <w:rPr>
                <w:rStyle w:val="Lienhypertexte"/>
                <w:rFonts w:ascii="Impact" w:hAnsi="Impact"/>
                <w:noProof/>
              </w:rPr>
              <w:t>4.3.</w:t>
            </w:r>
            <w:r w:rsidRPr="009956B7">
              <w:rPr>
                <w:rStyle w:val="Lienhypertexte"/>
                <w:noProof/>
              </w:rPr>
              <w:t xml:space="preserve"> Mise en oeuvre de la stratégie d'engagement</w:t>
            </w:r>
            <w:r>
              <w:rPr>
                <w:noProof/>
                <w:webHidden/>
              </w:rPr>
              <w:tab/>
            </w:r>
            <w:r>
              <w:rPr>
                <w:noProof/>
                <w:webHidden/>
              </w:rPr>
              <w:fldChar w:fldCharType="begin"/>
            </w:r>
            <w:r>
              <w:rPr>
                <w:noProof/>
                <w:webHidden/>
              </w:rPr>
              <w:instrText xml:space="preserve"> PAGEREF _Toc139042732 \h </w:instrText>
            </w:r>
            <w:r>
              <w:rPr>
                <w:noProof/>
                <w:webHidden/>
              </w:rPr>
            </w:r>
            <w:r>
              <w:rPr>
                <w:noProof/>
                <w:webHidden/>
              </w:rPr>
              <w:fldChar w:fldCharType="separate"/>
            </w:r>
            <w:r>
              <w:rPr>
                <w:noProof/>
                <w:webHidden/>
              </w:rPr>
              <w:t>13</w:t>
            </w:r>
            <w:r>
              <w:rPr>
                <w:noProof/>
                <w:webHidden/>
              </w:rPr>
              <w:fldChar w:fldCharType="end"/>
            </w:r>
          </w:hyperlink>
        </w:p>
        <w:p w14:paraId="6C4B6D56" w14:textId="25267D75"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33" w:history="1">
            <w:r w:rsidRPr="009956B7">
              <w:rPr>
                <w:rStyle w:val="Lienhypertexte"/>
                <w:rFonts w:ascii="Impact" w:hAnsi="Impact"/>
                <w:noProof/>
              </w:rPr>
              <w:t>4.4.</w:t>
            </w:r>
            <w:r w:rsidRPr="009956B7">
              <w:rPr>
                <w:rStyle w:val="Lienhypertexte"/>
                <w:noProof/>
              </w:rPr>
              <w:t xml:space="preserve"> Décisions en matière de stratégie d'investissement, notamment en matière de désengagements sectoriels</w:t>
            </w:r>
            <w:r>
              <w:rPr>
                <w:noProof/>
                <w:webHidden/>
              </w:rPr>
              <w:tab/>
            </w:r>
            <w:r>
              <w:rPr>
                <w:noProof/>
                <w:webHidden/>
              </w:rPr>
              <w:fldChar w:fldCharType="begin"/>
            </w:r>
            <w:r>
              <w:rPr>
                <w:noProof/>
                <w:webHidden/>
              </w:rPr>
              <w:instrText xml:space="preserve"> PAGEREF _Toc139042733 \h </w:instrText>
            </w:r>
            <w:r>
              <w:rPr>
                <w:noProof/>
                <w:webHidden/>
              </w:rPr>
            </w:r>
            <w:r>
              <w:rPr>
                <w:noProof/>
                <w:webHidden/>
              </w:rPr>
              <w:fldChar w:fldCharType="separate"/>
            </w:r>
            <w:r>
              <w:rPr>
                <w:noProof/>
                <w:webHidden/>
              </w:rPr>
              <w:t>14</w:t>
            </w:r>
            <w:r>
              <w:rPr>
                <w:noProof/>
                <w:webHidden/>
              </w:rPr>
              <w:fldChar w:fldCharType="end"/>
            </w:r>
          </w:hyperlink>
        </w:p>
        <w:p w14:paraId="24AE7DA5" w14:textId="4F9B5E54" w:rsidR="00247B14" w:rsidRDefault="00247B14">
          <w:pPr>
            <w:pStyle w:val="TM1"/>
            <w:rPr>
              <w:rFonts w:asciiTheme="minorHAnsi" w:eastAsiaTheme="minorEastAsia" w:hAnsiTheme="minorHAnsi" w:cstheme="minorBidi"/>
              <w:bCs w:val="0"/>
              <w:caps w:val="0"/>
              <w:color w:val="auto"/>
              <w:sz w:val="22"/>
              <w:szCs w:val="22"/>
              <w:lang w:eastAsia="fr-FR"/>
            </w:rPr>
          </w:pPr>
          <w:hyperlink w:anchor="_Toc139042734" w:history="1">
            <w:r w:rsidRPr="009956B7">
              <w:rPr>
                <w:rStyle w:val="Lienhypertexte"/>
              </w:rPr>
              <w:t>5. Taxonomie europeenne et combustibles fossiles</w:t>
            </w:r>
            <w:r>
              <w:rPr>
                <w:webHidden/>
              </w:rPr>
              <w:tab/>
            </w:r>
            <w:r>
              <w:rPr>
                <w:webHidden/>
              </w:rPr>
              <w:fldChar w:fldCharType="begin"/>
            </w:r>
            <w:r>
              <w:rPr>
                <w:webHidden/>
              </w:rPr>
              <w:instrText xml:space="preserve"> PAGEREF _Toc139042734 \h </w:instrText>
            </w:r>
            <w:r>
              <w:rPr>
                <w:webHidden/>
              </w:rPr>
            </w:r>
            <w:r>
              <w:rPr>
                <w:webHidden/>
              </w:rPr>
              <w:fldChar w:fldCharType="separate"/>
            </w:r>
            <w:r>
              <w:rPr>
                <w:webHidden/>
              </w:rPr>
              <w:t>15</w:t>
            </w:r>
            <w:r>
              <w:rPr>
                <w:webHidden/>
              </w:rPr>
              <w:fldChar w:fldCharType="end"/>
            </w:r>
          </w:hyperlink>
        </w:p>
        <w:p w14:paraId="5516F117" w14:textId="092E4222"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35" w:history="1">
            <w:r w:rsidRPr="009956B7">
              <w:rPr>
                <w:rStyle w:val="Lienhypertexte"/>
                <w:rFonts w:ascii="Impact" w:hAnsi="Impact"/>
                <w:noProof/>
              </w:rPr>
              <w:t>5.1.</w:t>
            </w:r>
            <w:r w:rsidRPr="009956B7">
              <w:rPr>
                <w:rStyle w:val="Lienhypertexte"/>
                <w:noProof/>
              </w:rPr>
              <w:t xml:space="preserve"> Taxonomie européenne</w:t>
            </w:r>
            <w:r>
              <w:rPr>
                <w:noProof/>
                <w:webHidden/>
              </w:rPr>
              <w:tab/>
            </w:r>
            <w:r>
              <w:rPr>
                <w:noProof/>
                <w:webHidden/>
              </w:rPr>
              <w:fldChar w:fldCharType="begin"/>
            </w:r>
            <w:r>
              <w:rPr>
                <w:noProof/>
                <w:webHidden/>
              </w:rPr>
              <w:instrText xml:space="preserve"> PAGEREF _Toc139042735 \h </w:instrText>
            </w:r>
            <w:r>
              <w:rPr>
                <w:noProof/>
                <w:webHidden/>
              </w:rPr>
            </w:r>
            <w:r>
              <w:rPr>
                <w:noProof/>
                <w:webHidden/>
              </w:rPr>
              <w:fldChar w:fldCharType="separate"/>
            </w:r>
            <w:r>
              <w:rPr>
                <w:noProof/>
                <w:webHidden/>
              </w:rPr>
              <w:t>15</w:t>
            </w:r>
            <w:r>
              <w:rPr>
                <w:noProof/>
                <w:webHidden/>
              </w:rPr>
              <w:fldChar w:fldCharType="end"/>
            </w:r>
          </w:hyperlink>
        </w:p>
        <w:p w14:paraId="6C2BEA80" w14:textId="65B692AE"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36" w:history="1">
            <w:r w:rsidRPr="009956B7">
              <w:rPr>
                <w:rStyle w:val="Lienhypertexte"/>
                <w:rFonts w:ascii="Impact" w:hAnsi="Impact"/>
                <w:noProof/>
              </w:rPr>
              <w:t>5.2.</w:t>
            </w:r>
            <w:r w:rsidRPr="009956B7">
              <w:rPr>
                <w:rStyle w:val="Lienhypertexte"/>
                <w:noProof/>
              </w:rPr>
              <w:t xml:space="preserve"> Part des encours dans des entreprises actives dans le secteur des combustibles fossiles</w:t>
            </w:r>
            <w:r>
              <w:rPr>
                <w:noProof/>
                <w:webHidden/>
              </w:rPr>
              <w:tab/>
            </w:r>
            <w:r>
              <w:rPr>
                <w:noProof/>
                <w:webHidden/>
              </w:rPr>
              <w:fldChar w:fldCharType="begin"/>
            </w:r>
            <w:r>
              <w:rPr>
                <w:noProof/>
                <w:webHidden/>
              </w:rPr>
              <w:instrText xml:space="preserve"> PAGEREF _Toc139042736 \h </w:instrText>
            </w:r>
            <w:r>
              <w:rPr>
                <w:noProof/>
                <w:webHidden/>
              </w:rPr>
            </w:r>
            <w:r>
              <w:rPr>
                <w:noProof/>
                <w:webHidden/>
              </w:rPr>
              <w:fldChar w:fldCharType="separate"/>
            </w:r>
            <w:r>
              <w:rPr>
                <w:noProof/>
                <w:webHidden/>
              </w:rPr>
              <w:t>15</w:t>
            </w:r>
            <w:r>
              <w:rPr>
                <w:noProof/>
                <w:webHidden/>
              </w:rPr>
              <w:fldChar w:fldCharType="end"/>
            </w:r>
          </w:hyperlink>
        </w:p>
        <w:p w14:paraId="6BD026F6" w14:textId="664C94CC" w:rsidR="00247B14" w:rsidRDefault="00247B14">
          <w:pPr>
            <w:pStyle w:val="TM1"/>
            <w:rPr>
              <w:rFonts w:asciiTheme="minorHAnsi" w:eastAsiaTheme="minorEastAsia" w:hAnsiTheme="minorHAnsi" w:cstheme="minorBidi"/>
              <w:bCs w:val="0"/>
              <w:caps w:val="0"/>
              <w:color w:val="auto"/>
              <w:sz w:val="22"/>
              <w:szCs w:val="22"/>
              <w:lang w:eastAsia="fr-FR"/>
            </w:rPr>
          </w:pPr>
          <w:hyperlink w:anchor="_Toc139042737" w:history="1">
            <w:r w:rsidRPr="009956B7">
              <w:rPr>
                <w:rStyle w:val="Lienhypertexte"/>
              </w:rPr>
              <w:t>6. Stratégie d’alignement avec des objectifs de l'accord de Paris sur le climat</w:t>
            </w:r>
            <w:r>
              <w:rPr>
                <w:webHidden/>
              </w:rPr>
              <w:tab/>
            </w:r>
            <w:r>
              <w:rPr>
                <w:webHidden/>
              </w:rPr>
              <w:fldChar w:fldCharType="begin"/>
            </w:r>
            <w:r>
              <w:rPr>
                <w:webHidden/>
              </w:rPr>
              <w:instrText xml:space="preserve"> PAGEREF _Toc139042737 \h </w:instrText>
            </w:r>
            <w:r>
              <w:rPr>
                <w:webHidden/>
              </w:rPr>
            </w:r>
            <w:r>
              <w:rPr>
                <w:webHidden/>
              </w:rPr>
              <w:fldChar w:fldCharType="separate"/>
            </w:r>
            <w:r>
              <w:rPr>
                <w:webHidden/>
              </w:rPr>
              <w:t>16</w:t>
            </w:r>
            <w:r>
              <w:rPr>
                <w:webHidden/>
              </w:rPr>
              <w:fldChar w:fldCharType="end"/>
            </w:r>
          </w:hyperlink>
        </w:p>
        <w:p w14:paraId="2B738BF4" w14:textId="58660CF5"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38" w:history="1">
            <w:r w:rsidRPr="009956B7">
              <w:rPr>
                <w:rStyle w:val="Lienhypertexte"/>
                <w:rFonts w:ascii="Impact" w:hAnsi="Impact" w:cstheme="majorHAnsi"/>
                <w:noProof/>
              </w:rPr>
              <w:t>6.1.</w:t>
            </w:r>
            <w:r w:rsidRPr="009956B7">
              <w:rPr>
                <w:rStyle w:val="Lienhypertexte"/>
                <w:noProof/>
              </w:rPr>
              <w:t xml:space="preserve"> Objectif de réduction des émissions de gaz à effet de serre</w:t>
            </w:r>
            <w:r>
              <w:rPr>
                <w:noProof/>
                <w:webHidden/>
              </w:rPr>
              <w:tab/>
            </w:r>
            <w:r>
              <w:rPr>
                <w:noProof/>
                <w:webHidden/>
              </w:rPr>
              <w:fldChar w:fldCharType="begin"/>
            </w:r>
            <w:r>
              <w:rPr>
                <w:noProof/>
                <w:webHidden/>
              </w:rPr>
              <w:instrText xml:space="preserve"> PAGEREF _Toc139042738 \h </w:instrText>
            </w:r>
            <w:r>
              <w:rPr>
                <w:noProof/>
                <w:webHidden/>
              </w:rPr>
            </w:r>
            <w:r>
              <w:rPr>
                <w:noProof/>
                <w:webHidden/>
              </w:rPr>
              <w:fldChar w:fldCharType="separate"/>
            </w:r>
            <w:r>
              <w:rPr>
                <w:noProof/>
                <w:webHidden/>
              </w:rPr>
              <w:t>16</w:t>
            </w:r>
            <w:r>
              <w:rPr>
                <w:noProof/>
                <w:webHidden/>
              </w:rPr>
              <w:fldChar w:fldCharType="end"/>
            </w:r>
          </w:hyperlink>
        </w:p>
        <w:p w14:paraId="0ACCC85D" w14:textId="685AA3BC"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39" w:history="1">
            <w:r w:rsidRPr="009956B7">
              <w:rPr>
                <w:rStyle w:val="Lienhypertexte"/>
                <w:rFonts w:ascii="Impact" w:hAnsi="Impact"/>
                <w:noProof/>
              </w:rPr>
              <w:t>6.2.</w:t>
            </w:r>
            <w:r w:rsidRPr="009956B7">
              <w:rPr>
                <w:rStyle w:val="Lienhypertexte"/>
                <w:noProof/>
              </w:rPr>
              <w:t xml:space="preserve"> Méthodologie</w:t>
            </w:r>
            <w:r>
              <w:rPr>
                <w:noProof/>
                <w:webHidden/>
              </w:rPr>
              <w:tab/>
            </w:r>
            <w:r>
              <w:rPr>
                <w:noProof/>
                <w:webHidden/>
              </w:rPr>
              <w:fldChar w:fldCharType="begin"/>
            </w:r>
            <w:r>
              <w:rPr>
                <w:noProof/>
                <w:webHidden/>
              </w:rPr>
              <w:instrText xml:space="preserve"> PAGEREF _Toc139042739 \h </w:instrText>
            </w:r>
            <w:r>
              <w:rPr>
                <w:noProof/>
                <w:webHidden/>
              </w:rPr>
            </w:r>
            <w:r>
              <w:rPr>
                <w:noProof/>
                <w:webHidden/>
              </w:rPr>
              <w:fldChar w:fldCharType="separate"/>
            </w:r>
            <w:r>
              <w:rPr>
                <w:noProof/>
                <w:webHidden/>
              </w:rPr>
              <w:t>16</w:t>
            </w:r>
            <w:r>
              <w:rPr>
                <w:noProof/>
                <w:webHidden/>
              </w:rPr>
              <w:fldChar w:fldCharType="end"/>
            </w:r>
          </w:hyperlink>
        </w:p>
        <w:p w14:paraId="6D2F5E84" w14:textId="466B4FA6"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40" w:history="1">
            <w:r w:rsidRPr="009956B7">
              <w:rPr>
                <w:rStyle w:val="Lienhypertexte"/>
                <w:rFonts w:ascii="Impact" w:hAnsi="Impact"/>
                <w:noProof/>
              </w:rPr>
              <w:t>6.3.</w:t>
            </w:r>
            <w:r w:rsidRPr="009956B7">
              <w:rPr>
                <w:rStyle w:val="Lienhypertexte"/>
                <w:noProof/>
              </w:rPr>
              <w:t xml:space="preserve"> Quantification des résultats</w:t>
            </w:r>
            <w:r>
              <w:rPr>
                <w:noProof/>
                <w:webHidden/>
              </w:rPr>
              <w:tab/>
            </w:r>
            <w:r>
              <w:rPr>
                <w:noProof/>
                <w:webHidden/>
              </w:rPr>
              <w:fldChar w:fldCharType="begin"/>
            </w:r>
            <w:r>
              <w:rPr>
                <w:noProof/>
                <w:webHidden/>
              </w:rPr>
              <w:instrText xml:space="preserve"> PAGEREF _Toc139042740 \h </w:instrText>
            </w:r>
            <w:r>
              <w:rPr>
                <w:noProof/>
                <w:webHidden/>
              </w:rPr>
            </w:r>
            <w:r>
              <w:rPr>
                <w:noProof/>
                <w:webHidden/>
              </w:rPr>
              <w:fldChar w:fldCharType="separate"/>
            </w:r>
            <w:r>
              <w:rPr>
                <w:noProof/>
                <w:webHidden/>
              </w:rPr>
              <w:t>17</w:t>
            </w:r>
            <w:r>
              <w:rPr>
                <w:noProof/>
                <w:webHidden/>
              </w:rPr>
              <w:fldChar w:fldCharType="end"/>
            </w:r>
          </w:hyperlink>
        </w:p>
        <w:p w14:paraId="4D49D9C6" w14:textId="751FE6B5"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41" w:history="1">
            <w:r w:rsidRPr="009956B7">
              <w:rPr>
                <w:rStyle w:val="Lienhypertexte"/>
                <w:rFonts w:ascii="Impact" w:hAnsi="Impact"/>
                <w:noProof/>
              </w:rPr>
              <w:t>6.4.</w:t>
            </w:r>
            <w:r w:rsidRPr="009956B7">
              <w:rPr>
                <w:rStyle w:val="Lienhypertexte"/>
                <w:noProof/>
              </w:rPr>
              <w:t xml:space="preserve"> Rôle et usage de l'évaluation dans la stratégie d'investissement</w:t>
            </w:r>
            <w:r>
              <w:rPr>
                <w:noProof/>
                <w:webHidden/>
              </w:rPr>
              <w:tab/>
            </w:r>
            <w:r>
              <w:rPr>
                <w:noProof/>
                <w:webHidden/>
              </w:rPr>
              <w:fldChar w:fldCharType="begin"/>
            </w:r>
            <w:r>
              <w:rPr>
                <w:noProof/>
                <w:webHidden/>
              </w:rPr>
              <w:instrText xml:space="preserve"> PAGEREF _Toc139042741 \h </w:instrText>
            </w:r>
            <w:r>
              <w:rPr>
                <w:noProof/>
                <w:webHidden/>
              </w:rPr>
            </w:r>
            <w:r>
              <w:rPr>
                <w:noProof/>
                <w:webHidden/>
              </w:rPr>
              <w:fldChar w:fldCharType="separate"/>
            </w:r>
            <w:r>
              <w:rPr>
                <w:noProof/>
                <w:webHidden/>
              </w:rPr>
              <w:t>17</w:t>
            </w:r>
            <w:r>
              <w:rPr>
                <w:noProof/>
                <w:webHidden/>
              </w:rPr>
              <w:fldChar w:fldCharType="end"/>
            </w:r>
          </w:hyperlink>
        </w:p>
        <w:p w14:paraId="25346975" w14:textId="219F1A42"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42" w:history="1">
            <w:r w:rsidRPr="009956B7">
              <w:rPr>
                <w:rStyle w:val="Lienhypertexte"/>
                <w:rFonts w:ascii="Impact" w:hAnsi="Impact"/>
                <w:noProof/>
              </w:rPr>
              <w:t>6.5.</w:t>
            </w:r>
            <w:r w:rsidRPr="009956B7">
              <w:rPr>
                <w:rStyle w:val="Lienhypertexte"/>
                <w:noProof/>
              </w:rPr>
              <w:t xml:space="preserve"> Changements intervenus au sein de la stratégie d'investissement et de la sortie des hydrocarbures</w:t>
            </w:r>
            <w:r>
              <w:rPr>
                <w:noProof/>
                <w:webHidden/>
              </w:rPr>
              <w:tab/>
            </w:r>
            <w:r>
              <w:rPr>
                <w:noProof/>
                <w:webHidden/>
              </w:rPr>
              <w:fldChar w:fldCharType="begin"/>
            </w:r>
            <w:r>
              <w:rPr>
                <w:noProof/>
                <w:webHidden/>
              </w:rPr>
              <w:instrText xml:space="preserve"> PAGEREF _Toc139042742 \h </w:instrText>
            </w:r>
            <w:r>
              <w:rPr>
                <w:noProof/>
                <w:webHidden/>
              </w:rPr>
            </w:r>
            <w:r>
              <w:rPr>
                <w:noProof/>
                <w:webHidden/>
              </w:rPr>
              <w:fldChar w:fldCharType="separate"/>
            </w:r>
            <w:r>
              <w:rPr>
                <w:noProof/>
                <w:webHidden/>
              </w:rPr>
              <w:t>18</w:t>
            </w:r>
            <w:r>
              <w:rPr>
                <w:noProof/>
                <w:webHidden/>
              </w:rPr>
              <w:fldChar w:fldCharType="end"/>
            </w:r>
          </w:hyperlink>
        </w:p>
        <w:p w14:paraId="66BE6FE3" w14:textId="2632BC43" w:rsidR="00247B14" w:rsidRDefault="00247B14">
          <w:pPr>
            <w:pStyle w:val="TM3"/>
            <w:rPr>
              <w:rFonts w:asciiTheme="minorHAnsi" w:eastAsiaTheme="minorEastAsia" w:hAnsiTheme="minorHAnsi" w:cstheme="minorBidi"/>
              <w:iCs w:val="0"/>
              <w:color w:val="auto"/>
              <w:sz w:val="22"/>
              <w:szCs w:val="22"/>
              <w:lang w:eastAsia="fr-FR"/>
            </w:rPr>
          </w:pPr>
          <w:hyperlink w:anchor="_Toc139042743" w:history="1">
            <w:r w:rsidRPr="009956B7">
              <w:rPr>
                <w:rStyle w:val="Lienhypertexte"/>
                <w:rFonts w:ascii="Impact" w:hAnsi="Impact"/>
              </w:rPr>
              <w:t>6.5.1.</w:t>
            </w:r>
            <w:r w:rsidRPr="009956B7">
              <w:rPr>
                <w:rStyle w:val="Lienhypertexte"/>
              </w:rPr>
              <w:t xml:space="preserve"> Charbon thermique</w:t>
            </w:r>
            <w:r>
              <w:rPr>
                <w:webHidden/>
              </w:rPr>
              <w:tab/>
            </w:r>
            <w:r>
              <w:rPr>
                <w:webHidden/>
              </w:rPr>
              <w:fldChar w:fldCharType="begin"/>
            </w:r>
            <w:r>
              <w:rPr>
                <w:webHidden/>
              </w:rPr>
              <w:instrText xml:space="preserve"> PAGEREF _Toc139042743 \h </w:instrText>
            </w:r>
            <w:r>
              <w:rPr>
                <w:webHidden/>
              </w:rPr>
            </w:r>
            <w:r>
              <w:rPr>
                <w:webHidden/>
              </w:rPr>
              <w:fldChar w:fldCharType="separate"/>
            </w:r>
            <w:r>
              <w:rPr>
                <w:webHidden/>
              </w:rPr>
              <w:t>18</w:t>
            </w:r>
            <w:r>
              <w:rPr>
                <w:webHidden/>
              </w:rPr>
              <w:fldChar w:fldCharType="end"/>
            </w:r>
          </w:hyperlink>
        </w:p>
        <w:p w14:paraId="32D7551F" w14:textId="67DDC44B" w:rsidR="00247B14" w:rsidRDefault="00247B14">
          <w:pPr>
            <w:pStyle w:val="TM3"/>
            <w:rPr>
              <w:rFonts w:asciiTheme="minorHAnsi" w:eastAsiaTheme="minorEastAsia" w:hAnsiTheme="minorHAnsi" w:cstheme="minorBidi"/>
              <w:iCs w:val="0"/>
              <w:color w:val="auto"/>
              <w:sz w:val="22"/>
              <w:szCs w:val="22"/>
              <w:lang w:eastAsia="fr-FR"/>
            </w:rPr>
          </w:pPr>
          <w:hyperlink w:anchor="_Toc139042744" w:history="1">
            <w:r w:rsidRPr="009956B7">
              <w:rPr>
                <w:rStyle w:val="Lienhypertexte"/>
                <w:rFonts w:ascii="Impact" w:hAnsi="Impact"/>
              </w:rPr>
              <w:t>6.5.2.</w:t>
            </w:r>
            <w:r w:rsidRPr="009956B7">
              <w:rPr>
                <w:rStyle w:val="Lienhypertexte"/>
              </w:rPr>
              <w:t xml:space="preserve"> Pétrole et gaz</w:t>
            </w:r>
            <w:r>
              <w:rPr>
                <w:webHidden/>
              </w:rPr>
              <w:tab/>
            </w:r>
            <w:r>
              <w:rPr>
                <w:webHidden/>
              </w:rPr>
              <w:fldChar w:fldCharType="begin"/>
            </w:r>
            <w:r>
              <w:rPr>
                <w:webHidden/>
              </w:rPr>
              <w:instrText xml:space="preserve"> PAGEREF _Toc139042744 \h </w:instrText>
            </w:r>
            <w:r>
              <w:rPr>
                <w:webHidden/>
              </w:rPr>
            </w:r>
            <w:r>
              <w:rPr>
                <w:webHidden/>
              </w:rPr>
              <w:fldChar w:fldCharType="separate"/>
            </w:r>
            <w:r>
              <w:rPr>
                <w:webHidden/>
              </w:rPr>
              <w:t>18</w:t>
            </w:r>
            <w:r>
              <w:rPr>
                <w:webHidden/>
              </w:rPr>
              <w:fldChar w:fldCharType="end"/>
            </w:r>
          </w:hyperlink>
        </w:p>
        <w:p w14:paraId="09E95132" w14:textId="1536825E"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45" w:history="1">
            <w:r w:rsidRPr="009956B7">
              <w:rPr>
                <w:rStyle w:val="Lienhypertexte"/>
                <w:rFonts w:ascii="Impact" w:hAnsi="Impact"/>
                <w:noProof/>
              </w:rPr>
              <w:t>6.6.</w:t>
            </w:r>
            <w:r w:rsidRPr="009956B7">
              <w:rPr>
                <w:rStyle w:val="Lienhypertexte"/>
                <w:noProof/>
              </w:rPr>
              <w:t xml:space="preserve"> Les éventuelles actions de suivi des résultats et des changements intervenus</w:t>
            </w:r>
            <w:r>
              <w:rPr>
                <w:noProof/>
                <w:webHidden/>
              </w:rPr>
              <w:tab/>
            </w:r>
            <w:r>
              <w:rPr>
                <w:noProof/>
                <w:webHidden/>
              </w:rPr>
              <w:fldChar w:fldCharType="begin"/>
            </w:r>
            <w:r>
              <w:rPr>
                <w:noProof/>
                <w:webHidden/>
              </w:rPr>
              <w:instrText xml:space="preserve"> PAGEREF _Toc139042745 \h </w:instrText>
            </w:r>
            <w:r>
              <w:rPr>
                <w:noProof/>
                <w:webHidden/>
              </w:rPr>
            </w:r>
            <w:r>
              <w:rPr>
                <w:noProof/>
                <w:webHidden/>
              </w:rPr>
              <w:fldChar w:fldCharType="separate"/>
            </w:r>
            <w:r>
              <w:rPr>
                <w:noProof/>
                <w:webHidden/>
              </w:rPr>
              <w:t>19</w:t>
            </w:r>
            <w:r>
              <w:rPr>
                <w:noProof/>
                <w:webHidden/>
              </w:rPr>
              <w:fldChar w:fldCharType="end"/>
            </w:r>
          </w:hyperlink>
        </w:p>
        <w:p w14:paraId="56DC90DA" w14:textId="6A00548A"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46" w:history="1">
            <w:r w:rsidRPr="009956B7">
              <w:rPr>
                <w:rStyle w:val="Lienhypertexte"/>
                <w:rFonts w:ascii="Impact" w:hAnsi="Impact"/>
                <w:noProof/>
              </w:rPr>
              <w:t>6.7.</w:t>
            </w:r>
            <w:r w:rsidRPr="009956B7">
              <w:rPr>
                <w:rStyle w:val="Lienhypertexte"/>
                <w:noProof/>
              </w:rPr>
              <w:t xml:space="preserve"> Fréquence de l'évaluation</w:t>
            </w:r>
            <w:r>
              <w:rPr>
                <w:noProof/>
                <w:webHidden/>
              </w:rPr>
              <w:tab/>
            </w:r>
            <w:r>
              <w:rPr>
                <w:noProof/>
                <w:webHidden/>
              </w:rPr>
              <w:fldChar w:fldCharType="begin"/>
            </w:r>
            <w:r>
              <w:rPr>
                <w:noProof/>
                <w:webHidden/>
              </w:rPr>
              <w:instrText xml:space="preserve"> PAGEREF _Toc139042746 \h </w:instrText>
            </w:r>
            <w:r>
              <w:rPr>
                <w:noProof/>
                <w:webHidden/>
              </w:rPr>
            </w:r>
            <w:r>
              <w:rPr>
                <w:noProof/>
                <w:webHidden/>
              </w:rPr>
              <w:fldChar w:fldCharType="separate"/>
            </w:r>
            <w:r>
              <w:rPr>
                <w:noProof/>
                <w:webHidden/>
              </w:rPr>
              <w:t>19</w:t>
            </w:r>
            <w:r>
              <w:rPr>
                <w:noProof/>
                <w:webHidden/>
              </w:rPr>
              <w:fldChar w:fldCharType="end"/>
            </w:r>
          </w:hyperlink>
        </w:p>
        <w:p w14:paraId="66ADE30B" w14:textId="2ECE9E75" w:rsidR="00247B14" w:rsidRDefault="00247B14">
          <w:pPr>
            <w:pStyle w:val="TM1"/>
            <w:rPr>
              <w:rFonts w:asciiTheme="minorHAnsi" w:eastAsiaTheme="minorEastAsia" w:hAnsiTheme="minorHAnsi" w:cstheme="minorBidi"/>
              <w:bCs w:val="0"/>
              <w:caps w:val="0"/>
              <w:color w:val="auto"/>
              <w:sz w:val="22"/>
              <w:szCs w:val="22"/>
              <w:lang w:eastAsia="fr-FR"/>
            </w:rPr>
          </w:pPr>
          <w:hyperlink w:anchor="_Toc139042747" w:history="1">
            <w:r w:rsidRPr="009956B7">
              <w:rPr>
                <w:rStyle w:val="Lienhypertexte"/>
              </w:rPr>
              <w:t>7. Strategie d'alignement avec les objetcifs de long terme liés à la biodiversite</w:t>
            </w:r>
            <w:r>
              <w:rPr>
                <w:webHidden/>
              </w:rPr>
              <w:tab/>
            </w:r>
            <w:r>
              <w:rPr>
                <w:webHidden/>
              </w:rPr>
              <w:fldChar w:fldCharType="begin"/>
            </w:r>
            <w:r>
              <w:rPr>
                <w:webHidden/>
              </w:rPr>
              <w:instrText xml:space="preserve"> PAGEREF _Toc139042747 \h </w:instrText>
            </w:r>
            <w:r>
              <w:rPr>
                <w:webHidden/>
              </w:rPr>
            </w:r>
            <w:r>
              <w:rPr>
                <w:webHidden/>
              </w:rPr>
              <w:fldChar w:fldCharType="separate"/>
            </w:r>
            <w:r>
              <w:rPr>
                <w:webHidden/>
              </w:rPr>
              <w:t>20</w:t>
            </w:r>
            <w:r>
              <w:rPr>
                <w:webHidden/>
              </w:rPr>
              <w:fldChar w:fldCharType="end"/>
            </w:r>
          </w:hyperlink>
        </w:p>
        <w:p w14:paraId="37EC13C2" w14:textId="48A7ABFF"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48" w:history="1">
            <w:r w:rsidRPr="009956B7">
              <w:rPr>
                <w:rStyle w:val="Lienhypertexte"/>
                <w:rFonts w:ascii="Impact" w:hAnsi="Impact"/>
                <w:noProof/>
              </w:rPr>
              <w:t>7.1.</w:t>
            </w:r>
            <w:r w:rsidRPr="009956B7">
              <w:rPr>
                <w:rStyle w:val="Lienhypertexte"/>
                <w:noProof/>
              </w:rPr>
              <w:t xml:space="preserve"> Respect des objectifs de la Convention sur la diversité biologique du 5 juin 1992</w:t>
            </w:r>
            <w:r>
              <w:rPr>
                <w:noProof/>
                <w:webHidden/>
              </w:rPr>
              <w:tab/>
            </w:r>
            <w:r>
              <w:rPr>
                <w:noProof/>
                <w:webHidden/>
              </w:rPr>
              <w:fldChar w:fldCharType="begin"/>
            </w:r>
            <w:r>
              <w:rPr>
                <w:noProof/>
                <w:webHidden/>
              </w:rPr>
              <w:instrText xml:space="preserve"> PAGEREF _Toc139042748 \h </w:instrText>
            </w:r>
            <w:r>
              <w:rPr>
                <w:noProof/>
                <w:webHidden/>
              </w:rPr>
            </w:r>
            <w:r>
              <w:rPr>
                <w:noProof/>
                <w:webHidden/>
              </w:rPr>
              <w:fldChar w:fldCharType="separate"/>
            </w:r>
            <w:r>
              <w:rPr>
                <w:noProof/>
                <w:webHidden/>
              </w:rPr>
              <w:t>20</w:t>
            </w:r>
            <w:r>
              <w:rPr>
                <w:noProof/>
                <w:webHidden/>
              </w:rPr>
              <w:fldChar w:fldCharType="end"/>
            </w:r>
          </w:hyperlink>
        </w:p>
        <w:p w14:paraId="76BECF7E" w14:textId="704BF6B8"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49" w:history="1">
            <w:r w:rsidRPr="009956B7">
              <w:rPr>
                <w:rStyle w:val="Lienhypertexte"/>
                <w:rFonts w:ascii="Impact" w:hAnsi="Impact"/>
                <w:noProof/>
              </w:rPr>
              <w:t>7.2.</w:t>
            </w:r>
            <w:r w:rsidRPr="009956B7">
              <w:rPr>
                <w:rStyle w:val="Lienhypertexte"/>
                <w:noProof/>
              </w:rPr>
              <w:t xml:space="preserve"> Analyse de la contribution à la réduction des principales pressions et impacts sur la biodiversité</w:t>
            </w:r>
            <w:r>
              <w:rPr>
                <w:noProof/>
                <w:webHidden/>
              </w:rPr>
              <w:tab/>
            </w:r>
            <w:r>
              <w:rPr>
                <w:noProof/>
                <w:webHidden/>
              </w:rPr>
              <w:fldChar w:fldCharType="begin"/>
            </w:r>
            <w:r>
              <w:rPr>
                <w:noProof/>
                <w:webHidden/>
              </w:rPr>
              <w:instrText xml:space="preserve"> PAGEREF _Toc139042749 \h </w:instrText>
            </w:r>
            <w:r>
              <w:rPr>
                <w:noProof/>
                <w:webHidden/>
              </w:rPr>
            </w:r>
            <w:r>
              <w:rPr>
                <w:noProof/>
                <w:webHidden/>
              </w:rPr>
              <w:fldChar w:fldCharType="separate"/>
            </w:r>
            <w:r>
              <w:rPr>
                <w:noProof/>
                <w:webHidden/>
              </w:rPr>
              <w:t>20</w:t>
            </w:r>
            <w:r>
              <w:rPr>
                <w:noProof/>
                <w:webHidden/>
              </w:rPr>
              <w:fldChar w:fldCharType="end"/>
            </w:r>
          </w:hyperlink>
        </w:p>
        <w:p w14:paraId="112B02B2" w14:textId="7C1D13D4"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50" w:history="1">
            <w:r w:rsidRPr="009956B7">
              <w:rPr>
                <w:rStyle w:val="Lienhypertexte"/>
                <w:rFonts w:ascii="Impact" w:hAnsi="Impact"/>
                <w:noProof/>
              </w:rPr>
              <w:t>7.3.</w:t>
            </w:r>
            <w:r w:rsidRPr="009956B7">
              <w:rPr>
                <w:rStyle w:val="Lienhypertexte"/>
                <w:noProof/>
              </w:rPr>
              <w:t xml:space="preserve"> Indicateur d'empreinte biodiversité</w:t>
            </w:r>
            <w:r>
              <w:rPr>
                <w:noProof/>
                <w:webHidden/>
              </w:rPr>
              <w:tab/>
            </w:r>
            <w:r>
              <w:rPr>
                <w:noProof/>
                <w:webHidden/>
              </w:rPr>
              <w:fldChar w:fldCharType="begin"/>
            </w:r>
            <w:r>
              <w:rPr>
                <w:noProof/>
                <w:webHidden/>
              </w:rPr>
              <w:instrText xml:space="preserve"> PAGEREF _Toc139042750 \h </w:instrText>
            </w:r>
            <w:r>
              <w:rPr>
                <w:noProof/>
                <w:webHidden/>
              </w:rPr>
            </w:r>
            <w:r>
              <w:rPr>
                <w:noProof/>
                <w:webHidden/>
              </w:rPr>
              <w:fldChar w:fldCharType="separate"/>
            </w:r>
            <w:r>
              <w:rPr>
                <w:noProof/>
                <w:webHidden/>
              </w:rPr>
              <w:t>20</w:t>
            </w:r>
            <w:r>
              <w:rPr>
                <w:noProof/>
                <w:webHidden/>
              </w:rPr>
              <w:fldChar w:fldCharType="end"/>
            </w:r>
          </w:hyperlink>
        </w:p>
        <w:p w14:paraId="3A132C20" w14:textId="2BEE088E" w:rsidR="00247B14" w:rsidRDefault="00247B14">
          <w:pPr>
            <w:pStyle w:val="TM3"/>
            <w:rPr>
              <w:rFonts w:asciiTheme="minorHAnsi" w:eastAsiaTheme="minorEastAsia" w:hAnsiTheme="minorHAnsi" w:cstheme="minorBidi"/>
              <w:iCs w:val="0"/>
              <w:color w:val="auto"/>
              <w:sz w:val="22"/>
              <w:szCs w:val="22"/>
              <w:lang w:eastAsia="fr-FR"/>
            </w:rPr>
          </w:pPr>
          <w:hyperlink w:anchor="_Toc139042751" w:history="1">
            <w:r w:rsidRPr="009956B7">
              <w:rPr>
                <w:rStyle w:val="Lienhypertexte"/>
                <w:rFonts w:ascii="Impact" w:hAnsi="Impact"/>
              </w:rPr>
              <w:t>7.3.1.</w:t>
            </w:r>
            <w:r w:rsidRPr="009956B7">
              <w:rPr>
                <w:rStyle w:val="Lienhypertexte"/>
              </w:rPr>
              <w:t xml:space="preserve"> Activité Grandes Entreprises</w:t>
            </w:r>
            <w:r>
              <w:rPr>
                <w:webHidden/>
              </w:rPr>
              <w:tab/>
            </w:r>
            <w:r>
              <w:rPr>
                <w:webHidden/>
              </w:rPr>
              <w:fldChar w:fldCharType="begin"/>
            </w:r>
            <w:r>
              <w:rPr>
                <w:webHidden/>
              </w:rPr>
              <w:instrText xml:space="preserve"> PAGEREF _Toc139042751 \h </w:instrText>
            </w:r>
            <w:r>
              <w:rPr>
                <w:webHidden/>
              </w:rPr>
            </w:r>
            <w:r>
              <w:rPr>
                <w:webHidden/>
              </w:rPr>
              <w:fldChar w:fldCharType="separate"/>
            </w:r>
            <w:r>
              <w:rPr>
                <w:webHidden/>
              </w:rPr>
              <w:t>20</w:t>
            </w:r>
            <w:r>
              <w:rPr>
                <w:webHidden/>
              </w:rPr>
              <w:fldChar w:fldCharType="end"/>
            </w:r>
          </w:hyperlink>
        </w:p>
        <w:p w14:paraId="0C9089B7" w14:textId="284479BB" w:rsidR="00247B14" w:rsidRDefault="00247B14">
          <w:pPr>
            <w:pStyle w:val="TM3"/>
            <w:rPr>
              <w:rFonts w:asciiTheme="minorHAnsi" w:eastAsiaTheme="minorEastAsia" w:hAnsiTheme="minorHAnsi" w:cstheme="minorBidi"/>
              <w:iCs w:val="0"/>
              <w:color w:val="auto"/>
              <w:sz w:val="22"/>
              <w:szCs w:val="22"/>
              <w:lang w:eastAsia="fr-FR"/>
            </w:rPr>
          </w:pPr>
          <w:hyperlink w:anchor="_Toc139042752" w:history="1">
            <w:r w:rsidRPr="009956B7">
              <w:rPr>
                <w:rStyle w:val="Lienhypertexte"/>
                <w:rFonts w:ascii="Impact" w:hAnsi="Impact"/>
              </w:rPr>
              <w:t>7.3.2.</w:t>
            </w:r>
            <w:r w:rsidRPr="009956B7">
              <w:rPr>
                <w:rStyle w:val="Lienhypertexte"/>
              </w:rPr>
              <w:t xml:space="preserve"> Activité Capital Investissement :</w:t>
            </w:r>
            <w:r>
              <w:rPr>
                <w:webHidden/>
              </w:rPr>
              <w:tab/>
            </w:r>
            <w:r>
              <w:rPr>
                <w:webHidden/>
              </w:rPr>
              <w:fldChar w:fldCharType="begin"/>
            </w:r>
            <w:r>
              <w:rPr>
                <w:webHidden/>
              </w:rPr>
              <w:instrText xml:space="preserve"> PAGEREF _Toc139042752 \h </w:instrText>
            </w:r>
            <w:r>
              <w:rPr>
                <w:webHidden/>
              </w:rPr>
            </w:r>
            <w:r>
              <w:rPr>
                <w:webHidden/>
              </w:rPr>
              <w:fldChar w:fldCharType="separate"/>
            </w:r>
            <w:r>
              <w:rPr>
                <w:webHidden/>
              </w:rPr>
              <w:t>22</w:t>
            </w:r>
            <w:r>
              <w:rPr>
                <w:webHidden/>
              </w:rPr>
              <w:fldChar w:fldCharType="end"/>
            </w:r>
          </w:hyperlink>
        </w:p>
        <w:p w14:paraId="1FFFECE7" w14:textId="18227554" w:rsidR="00247B14" w:rsidRDefault="00247B14">
          <w:pPr>
            <w:pStyle w:val="TM3"/>
            <w:rPr>
              <w:rFonts w:asciiTheme="minorHAnsi" w:eastAsiaTheme="minorEastAsia" w:hAnsiTheme="minorHAnsi" w:cstheme="minorBidi"/>
              <w:iCs w:val="0"/>
              <w:color w:val="auto"/>
              <w:sz w:val="22"/>
              <w:szCs w:val="22"/>
              <w:lang w:eastAsia="fr-FR"/>
            </w:rPr>
          </w:pPr>
          <w:hyperlink w:anchor="_Toc139042753" w:history="1">
            <w:r w:rsidRPr="009956B7">
              <w:rPr>
                <w:rStyle w:val="Lienhypertexte"/>
                <w:rFonts w:ascii="Impact" w:hAnsi="Impact"/>
              </w:rPr>
              <w:t>7.3.3.</w:t>
            </w:r>
            <w:r w:rsidRPr="009956B7">
              <w:rPr>
                <w:rStyle w:val="Lienhypertexte"/>
              </w:rPr>
              <w:t xml:space="preserve"> Activité Fonds de fonds :</w:t>
            </w:r>
            <w:r>
              <w:rPr>
                <w:webHidden/>
              </w:rPr>
              <w:tab/>
            </w:r>
            <w:r>
              <w:rPr>
                <w:webHidden/>
              </w:rPr>
              <w:fldChar w:fldCharType="begin"/>
            </w:r>
            <w:r>
              <w:rPr>
                <w:webHidden/>
              </w:rPr>
              <w:instrText xml:space="preserve"> PAGEREF _Toc139042753 \h </w:instrText>
            </w:r>
            <w:r>
              <w:rPr>
                <w:webHidden/>
              </w:rPr>
            </w:r>
            <w:r>
              <w:rPr>
                <w:webHidden/>
              </w:rPr>
              <w:fldChar w:fldCharType="separate"/>
            </w:r>
            <w:r>
              <w:rPr>
                <w:webHidden/>
              </w:rPr>
              <w:t>23</w:t>
            </w:r>
            <w:r>
              <w:rPr>
                <w:webHidden/>
              </w:rPr>
              <w:fldChar w:fldCharType="end"/>
            </w:r>
          </w:hyperlink>
        </w:p>
        <w:p w14:paraId="38300EF8" w14:textId="4326F9E5" w:rsidR="00247B14" w:rsidRDefault="00247B14">
          <w:pPr>
            <w:pStyle w:val="TM1"/>
            <w:rPr>
              <w:rFonts w:asciiTheme="minorHAnsi" w:eastAsiaTheme="minorEastAsia" w:hAnsiTheme="minorHAnsi" w:cstheme="minorBidi"/>
              <w:bCs w:val="0"/>
              <w:caps w:val="0"/>
              <w:color w:val="auto"/>
              <w:sz w:val="22"/>
              <w:szCs w:val="22"/>
              <w:lang w:eastAsia="fr-FR"/>
            </w:rPr>
          </w:pPr>
          <w:hyperlink w:anchor="_Toc139042754" w:history="1">
            <w:r w:rsidRPr="009956B7">
              <w:rPr>
                <w:rStyle w:val="Lienhypertexte"/>
              </w:rPr>
              <w:t>8. Prise en compte des enjeux ESG dans la gestion des risques</w:t>
            </w:r>
            <w:r>
              <w:rPr>
                <w:webHidden/>
              </w:rPr>
              <w:tab/>
            </w:r>
            <w:r>
              <w:rPr>
                <w:webHidden/>
              </w:rPr>
              <w:fldChar w:fldCharType="begin"/>
            </w:r>
            <w:r>
              <w:rPr>
                <w:webHidden/>
              </w:rPr>
              <w:instrText xml:space="preserve"> PAGEREF _Toc139042754 \h </w:instrText>
            </w:r>
            <w:r>
              <w:rPr>
                <w:webHidden/>
              </w:rPr>
            </w:r>
            <w:r>
              <w:rPr>
                <w:webHidden/>
              </w:rPr>
              <w:fldChar w:fldCharType="separate"/>
            </w:r>
            <w:r>
              <w:rPr>
                <w:webHidden/>
              </w:rPr>
              <w:t>24</w:t>
            </w:r>
            <w:r>
              <w:rPr>
                <w:webHidden/>
              </w:rPr>
              <w:fldChar w:fldCharType="end"/>
            </w:r>
          </w:hyperlink>
        </w:p>
        <w:p w14:paraId="26BB0AA6" w14:textId="12E2FA0B"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55" w:history="1">
            <w:r w:rsidRPr="009956B7">
              <w:rPr>
                <w:rStyle w:val="Lienhypertexte"/>
                <w:rFonts w:ascii="Impact" w:hAnsi="Impact"/>
                <w:noProof/>
              </w:rPr>
              <w:t>8.1.</w:t>
            </w:r>
            <w:r w:rsidRPr="009956B7">
              <w:rPr>
                <w:rStyle w:val="Lienhypertexte"/>
                <w:noProof/>
              </w:rPr>
              <w:t xml:space="preserve"> Processus d'identification, d'évaluation, de priorisation et de gestion des risques ESG</w:t>
            </w:r>
            <w:r>
              <w:rPr>
                <w:noProof/>
                <w:webHidden/>
              </w:rPr>
              <w:tab/>
            </w:r>
            <w:r>
              <w:rPr>
                <w:noProof/>
                <w:webHidden/>
              </w:rPr>
              <w:fldChar w:fldCharType="begin"/>
            </w:r>
            <w:r>
              <w:rPr>
                <w:noProof/>
                <w:webHidden/>
              </w:rPr>
              <w:instrText xml:space="preserve"> PAGEREF _Toc139042755 \h </w:instrText>
            </w:r>
            <w:r>
              <w:rPr>
                <w:noProof/>
                <w:webHidden/>
              </w:rPr>
            </w:r>
            <w:r>
              <w:rPr>
                <w:noProof/>
                <w:webHidden/>
              </w:rPr>
              <w:fldChar w:fldCharType="separate"/>
            </w:r>
            <w:r>
              <w:rPr>
                <w:noProof/>
                <w:webHidden/>
              </w:rPr>
              <w:t>24</w:t>
            </w:r>
            <w:r>
              <w:rPr>
                <w:noProof/>
                <w:webHidden/>
              </w:rPr>
              <w:fldChar w:fldCharType="end"/>
            </w:r>
          </w:hyperlink>
        </w:p>
        <w:p w14:paraId="709451E0" w14:textId="7FBB9C2A" w:rsidR="00247B14" w:rsidRDefault="00247B14">
          <w:pPr>
            <w:pStyle w:val="TM3"/>
            <w:rPr>
              <w:rFonts w:asciiTheme="minorHAnsi" w:eastAsiaTheme="minorEastAsia" w:hAnsiTheme="minorHAnsi" w:cstheme="minorBidi"/>
              <w:iCs w:val="0"/>
              <w:color w:val="auto"/>
              <w:sz w:val="22"/>
              <w:szCs w:val="22"/>
              <w:lang w:eastAsia="fr-FR"/>
            </w:rPr>
          </w:pPr>
          <w:hyperlink w:anchor="_Toc139042756" w:history="1">
            <w:r w:rsidRPr="009956B7">
              <w:rPr>
                <w:rStyle w:val="Lienhypertexte"/>
                <w:rFonts w:ascii="Impact" w:hAnsi="Impact"/>
              </w:rPr>
              <w:t>8.1.1.</w:t>
            </w:r>
            <w:r w:rsidRPr="009956B7">
              <w:rPr>
                <w:rStyle w:val="Lienhypertexte"/>
              </w:rPr>
              <w:t xml:space="preserve"> En phase de </w:t>
            </w:r>
            <w:r w:rsidRPr="009956B7">
              <w:rPr>
                <w:rStyle w:val="Lienhypertexte"/>
                <w:i/>
              </w:rPr>
              <w:t>due diligence</w:t>
            </w:r>
            <w:r>
              <w:rPr>
                <w:webHidden/>
              </w:rPr>
              <w:tab/>
            </w:r>
            <w:r>
              <w:rPr>
                <w:webHidden/>
              </w:rPr>
              <w:fldChar w:fldCharType="begin"/>
            </w:r>
            <w:r>
              <w:rPr>
                <w:webHidden/>
              </w:rPr>
              <w:instrText xml:space="preserve"> PAGEREF _Toc139042756 \h </w:instrText>
            </w:r>
            <w:r>
              <w:rPr>
                <w:webHidden/>
              </w:rPr>
            </w:r>
            <w:r>
              <w:rPr>
                <w:webHidden/>
              </w:rPr>
              <w:fldChar w:fldCharType="separate"/>
            </w:r>
            <w:r>
              <w:rPr>
                <w:webHidden/>
              </w:rPr>
              <w:t>24</w:t>
            </w:r>
            <w:r>
              <w:rPr>
                <w:webHidden/>
              </w:rPr>
              <w:fldChar w:fldCharType="end"/>
            </w:r>
          </w:hyperlink>
        </w:p>
        <w:p w14:paraId="0515FAD6" w14:textId="255AAE23" w:rsidR="00247B14" w:rsidRDefault="00247B14">
          <w:pPr>
            <w:pStyle w:val="TM3"/>
            <w:rPr>
              <w:rFonts w:asciiTheme="minorHAnsi" w:eastAsiaTheme="minorEastAsia" w:hAnsiTheme="minorHAnsi" w:cstheme="minorBidi"/>
              <w:iCs w:val="0"/>
              <w:color w:val="auto"/>
              <w:sz w:val="22"/>
              <w:szCs w:val="22"/>
              <w:lang w:eastAsia="fr-FR"/>
            </w:rPr>
          </w:pPr>
          <w:hyperlink w:anchor="_Toc139042757" w:history="1">
            <w:r w:rsidRPr="009956B7">
              <w:rPr>
                <w:rStyle w:val="Lienhypertexte"/>
                <w:rFonts w:ascii="Impact" w:hAnsi="Impact"/>
              </w:rPr>
              <w:t>8.1.2.</w:t>
            </w:r>
            <w:r w:rsidRPr="009956B7">
              <w:rPr>
                <w:rStyle w:val="Lienhypertexte"/>
              </w:rPr>
              <w:t xml:space="preserve"> En phase de suivi d’investissement</w:t>
            </w:r>
            <w:r>
              <w:rPr>
                <w:webHidden/>
              </w:rPr>
              <w:tab/>
            </w:r>
            <w:r>
              <w:rPr>
                <w:webHidden/>
              </w:rPr>
              <w:fldChar w:fldCharType="begin"/>
            </w:r>
            <w:r>
              <w:rPr>
                <w:webHidden/>
              </w:rPr>
              <w:instrText xml:space="preserve"> PAGEREF _Toc139042757 \h </w:instrText>
            </w:r>
            <w:r>
              <w:rPr>
                <w:webHidden/>
              </w:rPr>
            </w:r>
            <w:r>
              <w:rPr>
                <w:webHidden/>
              </w:rPr>
              <w:fldChar w:fldCharType="separate"/>
            </w:r>
            <w:r>
              <w:rPr>
                <w:webHidden/>
              </w:rPr>
              <w:t>25</w:t>
            </w:r>
            <w:r>
              <w:rPr>
                <w:webHidden/>
              </w:rPr>
              <w:fldChar w:fldCharType="end"/>
            </w:r>
          </w:hyperlink>
        </w:p>
        <w:p w14:paraId="37448BFB" w14:textId="767F2C2F"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58" w:history="1">
            <w:r w:rsidRPr="009956B7">
              <w:rPr>
                <w:rStyle w:val="Lienhypertexte"/>
                <w:rFonts w:ascii="Impact" w:hAnsi="Impact"/>
                <w:noProof/>
              </w:rPr>
              <w:t>8.2.</w:t>
            </w:r>
            <w:r w:rsidRPr="009956B7">
              <w:rPr>
                <w:rStyle w:val="Lienhypertexte"/>
                <w:noProof/>
              </w:rPr>
              <w:t xml:space="preserve"> Description des principaux risques ESG pris en compte par Bpifrance Investissement</w:t>
            </w:r>
            <w:r>
              <w:rPr>
                <w:noProof/>
                <w:webHidden/>
              </w:rPr>
              <w:tab/>
            </w:r>
            <w:r>
              <w:rPr>
                <w:noProof/>
                <w:webHidden/>
              </w:rPr>
              <w:fldChar w:fldCharType="begin"/>
            </w:r>
            <w:r>
              <w:rPr>
                <w:noProof/>
                <w:webHidden/>
              </w:rPr>
              <w:instrText xml:space="preserve"> PAGEREF _Toc139042758 \h </w:instrText>
            </w:r>
            <w:r>
              <w:rPr>
                <w:noProof/>
                <w:webHidden/>
              </w:rPr>
            </w:r>
            <w:r>
              <w:rPr>
                <w:noProof/>
                <w:webHidden/>
              </w:rPr>
              <w:fldChar w:fldCharType="separate"/>
            </w:r>
            <w:r>
              <w:rPr>
                <w:noProof/>
                <w:webHidden/>
              </w:rPr>
              <w:t>26</w:t>
            </w:r>
            <w:r>
              <w:rPr>
                <w:noProof/>
                <w:webHidden/>
              </w:rPr>
              <w:fldChar w:fldCharType="end"/>
            </w:r>
          </w:hyperlink>
        </w:p>
        <w:p w14:paraId="5BBAE46A" w14:textId="6751E05F" w:rsidR="00247B14" w:rsidRDefault="00247B14">
          <w:pPr>
            <w:pStyle w:val="TM3"/>
            <w:rPr>
              <w:rFonts w:asciiTheme="minorHAnsi" w:eastAsiaTheme="minorEastAsia" w:hAnsiTheme="minorHAnsi" w:cstheme="minorBidi"/>
              <w:iCs w:val="0"/>
              <w:color w:val="auto"/>
              <w:sz w:val="22"/>
              <w:szCs w:val="22"/>
              <w:lang w:eastAsia="fr-FR"/>
            </w:rPr>
          </w:pPr>
          <w:hyperlink w:anchor="_Toc139042759" w:history="1">
            <w:r w:rsidRPr="009956B7">
              <w:rPr>
                <w:rStyle w:val="Lienhypertexte"/>
                <w:rFonts w:ascii="Impact" w:hAnsi="Impact"/>
              </w:rPr>
              <w:t>8.2.1.</w:t>
            </w:r>
            <w:r w:rsidRPr="009956B7">
              <w:rPr>
                <w:rStyle w:val="Lienhypertexte"/>
              </w:rPr>
              <w:t xml:space="preserve"> Les critères et risques de gouvernance</w:t>
            </w:r>
            <w:r>
              <w:rPr>
                <w:webHidden/>
              </w:rPr>
              <w:tab/>
            </w:r>
            <w:r>
              <w:rPr>
                <w:webHidden/>
              </w:rPr>
              <w:fldChar w:fldCharType="begin"/>
            </w:r>
            <w:r>
              <w:rPr>
                <w:webHidden/>
              </w:rPr>
              <w:instrText xml:space="preserve"> PAGEREF _Toc139042759 \h </w:instrText>
            </w:r>
            <w:r>
              <w:rPr>
                <w:webHidden/>
              </w:rPr>
            </w:r>
            <w:r>
              <w:rPr>
                <w:webHidden/>
              </w:rPr>
              <w:fldChar w:fldCharType="separate"/>
            </w:r>
            <w:r>
              <w:rPr>
                <w:webHidden/>
              </w:rPr>
              <w:t>26</w:t>
            </w:r>
            <w:r>
              <w:rPr>
                <w:webHidden/>
              </w:rPr>
              <w:fldChar w:fldCharType="end"/>
            </w:r>
          </w:hyperlink>
        </w:p>
        <w:p w14:paraId="2BD9943F" w14:textId="067C0444" w:rsidR="00247B14" w:rsidRDefault="00247B14">
          <w:pPr>
            <w:pStyle w:val="TM3"/>
            <w:rPr>
              <w:rFonts w:asciiTheme="minorHAnsi" w:eastAsiaTheme="minorEastAsia" w:hAnsiTheme="minorHAnsi" w:cstheme="minorBidi"/>
              <w:iCs w:val="0"/>
              <w:color w:val="auto"/>
              <w:sz w:val="22"/>
              <w:szCs w:val="22"/>
              <w:lang w:eastAsia="fr-FR"/>
            </w:rPr>
          </w:pPr>
          <w:hyperlink w:anchor="_Toc139042760" w:history="1">
            <w:r w:rsidRPr="009956B7">
              <w:rPr>
                <w:rStyle w:val="Lienhypertexte"/>
                <w:rFonts w:ascii="Impact" w:hAnsi="Impact"/>
              </w:rPr>
              <w:t>8.2.2.</w:t>
            </w:r>
            <w:r w:rsidRPr="009956B7">
              <w:rPr>
                <w:rStyle w:val="Lienhypertexte"/>
              </w:rPr>
              <w:t xml:space="preserve"> Les critères et risques sociaux</w:t>
            </w:r>
            <w:r>
              <w:rPr>
                <w:webHidden/>
              </w:rPr>
              <w:tab/>
            </w:r>
            <w:r>
              <w:rPr>
                <w:webHidden/>
              </w:rPr>
              <w:fldChar w:fldCharType="begin"/>
            </w:r>
            <w:r>
              <w:rPr>
                <w:webHidden/>
              </w:rPr>
              <w:instrText xml:space="preserve"> PAGEREF _Toc139042760 \h </w:instrText>
            </w:r>
            <w:r>
              <w:rPr>
                <w:webHidden/>
              </w:rPr>
            </w:r>
            <w:r>
              <w:rPr>
                <w:webHidden/>
              </w:rPr>
              <w:fldChar w:fldCharType="separate"/>
            </w:r>
            <w:r>
              <w:rPr>
                <w:webHidden/>
              </w:rPr>
              <w:t>26</w:t>
            </w:r>
            <w:r>
              <w:rPr>
                <w:webHidden/>
              </w:rPr>
              <w:fldChar w:fldCharType="end"/>
            </w:r>
          </w:hyperlink>
        </w:p>
        <w:p w14:paraId="5518F147" w14:textId="2C55AE33" w:rsidR="00247B14" w:rsidRDefault="00247B14">
          <w:pPr>
            <w:pStyle w:val="TM3"/>
            <w:rPr>
              <w:rFonts w:asciiTheme="minorHAnsi" w:eastAsiaTheme="minorEastAsia" w:hAnsiTheme="minorHAnsi" w:cstheme="minorBidi"/>
              <w:iCs w:val="0"/>
              <w:color w:val="auto"/>
              <w:sz w:val="22"/>
              <w:szCs w:val="22"/>
              <w:lang w:eastAsia="fr-FR"/>
            </w:rPr>
          </w:pPr>
          <w:hyperlink w:anchor="_Toc139042761" w:history="1">
            <w:r w:rsidRPr="009956B7">
              <w:rPr>
                <w:rStyle w:val="Lienhypertexte"/>
                <w:rFonts w:ascii="Impact" w:hAnsi="Impact"/>
              </w:rPr>
              <w:t>8.2.3.</w:t>
            </w:r>
            <w:r w:rsidRPr="009956B7">
              <w:rPr>
                <w:rStyle w:val="Lienhypertexte"/>
              </w:rPr>
              <w:t xml:space="preserve"> Les critères et risques environnementaux</w:t>
            </w:r>
            <w:r>
              <w:rPr>
                <w:webHidden/>
              </w:rPr>
              <w:tab/>
            </w:r>
            <w:r>
              <w:rPr>
                <w:webHidden/>
              </w:rPr>
              <w:fldChar w:fldCharType="begin"/>
            </w:r>
            <w:r>
              <w:rPr>
                <w:webHidden/>
              </w:rPr>
              <w:instrText xml:space="preserve"> PAGEREF _Toc139042761 \h </w:instrText>
            </w:r>
            <w:r>
              <w:rPr>
                <w:webHidden/>
              </w:rPr>
            </w:r>
            <w:r>
              <w:rPr>
                <w:webHidden/>
              </w:rPr>
              <w:fldChar w:fldCharType="separate"/>
            </w:r>
            <w:r>
              <w:rPr>
                <w:webHidden/>
              </w:rPr>
              <w:t>27</w:t>
            </w:r>
            <w:r>
              <w:rPr>
                <w:webHidden/>
              </w:rPr>
              <w:fldChar w:fldCharType="end"/>
            </w:r>
          </w:hyperlink>
        </w:p>
        <w:p w14:paraId="38ED1A11" w14:textId="20AC2017"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62" w:history="1">
            <w:r w:rsidRPr="009956B7">
              <w:rPr>
                <w:rStyle w:val="Lienhypertexte"/>
                <w:rFonts w:ascii="Impact" w:hAnsi="Impact"/>
                <w:noProof/>
              </w:rPr>
              <w:t>8.3.</w:t>
            </w:r>
            <w:r w:rsidRPr="009956B7">
              <w:rPr>
                <w:rStyle w:val="Lienhypertexte"/>
                <w:noProof/>
              </w:rPr>
              <w:t xml:space="preserve"> Fréquence de la revue du cadre de gestion des risques</w:t>
            </w:r>
            <w:r>
              <w:rPr>
                <w:noProof/>
                <w:webHidden/>
              </w:rPr>
              <w:tab/>
            </w:r>
            <w:r>
              <w:rPr>
                <w:noProof/>
                <w:webHidden/>
              </w:rPr>
              <w:fldChar w:fldCharType="begin"/>
            </w:r>
            <w:r>
              <w:rPr>
                <w:noProof/>
                <w:webHidden/>
              </w:rPr>
              <w:instrText xml:space="preserve"> PAGEREF _Toc139042762 \h </w:instrText>
            </w:r>
            <w:r>
              <w:rPr>
                <w:noProof/>
                <w:webHidden/>
              </w:rPr>
            </w:r>
            <w:r>
              <w:rPr>
                <w:noProof/>
                <w:webHidden/>
              </w:rPr>
              <w:fldChar w:fldCharType="separate"/>
            </w:r>
            <w:r>
              <w:rPr>
                <w:noProof/>
                <w:webHidden/>
              </w:rPr>
              <w:t>27</w:t>
            </w:r>
            <w:r>
              <w:rPr>
                <w:noProof/>
                <w:webHidden/>
              </w:rPr>
              <w:fldChar w:fldCharType="end"/>
            </w:r>
          </w:hyperlink>
        </w:p>
        <w:p w14:paraId="7B0DDFE1" w14:textId="427D30DA"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63" w:history="1">
            <w:r w:rsidRPr="009956B7">
              <w:rPr>
                <w:rStyle w:val="Lienhypertexte"/>
                <w:rFonts w:ascii="Impact" w:hAnsi="Impact"/>
                <w:noProof/>
              </w:rPr>
              <w:t>8.4.</w:t>
            </w:r>
            <w:r w:rsidRPr="009956B7">
              <w:rPr>
                <w:rStyle w:val="Lienhypertexte"/>
                <w:noProof/>
              </w:rPr>
              <w:t xml:space="preserve"> Plan d'action visant à réduire l'exposition aux principaux risques en matière ESG</w:t>
            </w:r>
            <w:r>
              <w:rPr>
                <w:noProof/>
                <w:webHidden/>
              </w:rPr>
              <w:tab/>
            </w:r>
            <w:r>
              <w:rPr>
                <w:noProof/>
                <w:webHidden/>
              </w:rPr>
              <w:fldChar w:fldCharType="begin"/>
            </w:r>
            <w:r>
              <w:rPr>
                <w:noProof/>
                <w:webHidden/>
              </w:rPr>
              <w:instrText xml:space="preserve"> PAGEREF _Toc139042763 \h </w:instrText>
            </w:r>
            <w:r>
              <w:rPr>
                <w:noProof/>
                <w:webHidden/>
              </w:rPr>
            </w:r>
            <w:r>
              <w:rPr>
                <w:noProof/>
                <w:webHidden/>
              </w:rPr>
              <w:fldChar w:fldCharType="separate"/>
            </w:r>
            <w:r>
              <w:rPr>
                <w:noProof/>
                <w:webHidden/>
              </w:rPr>
              <w:t>27</w:t>
            </w:r>
            <w:r>
              <w:rPr>
                <w:noProof/>
                <w:webHidden/>
              </w:rPr>
              <w:fldChar w:fldCharType="end"/>
            </w:r>
          </w:hyperlink>
        </w:p>
        <w:p w14:paraId="5E52B58B" w14:textId="1895C137"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64" w:history="1">
            <w:r w:rsidRPr="009956B7">
              <w:rPr>
                <w:rStyle w:val="Lienhypertexte"/>
                <w:rFonts w:ascii="Impact" w:hAnsi="Impact"/>
                <w:noProof/>
              </w:rPr>
              <w:t>8.5.</w:t>
            </w:r>
            <w:r w:rsidRPr="009956B7">
              <w:rPr>
                <w:rStyle w:val="Lienhypertexte"/>
                <w:noProof/>
              </w:rPr>
              <w:t xml:space="preserve"> Estimation quantitative de l'impact financier des principaux risques en matière ESG</w:t>
            </w:r>
            <w:r>
              <w:rPr>
                <w:noProof/>
                <w:webHidden/>
              </w:rPr>
              <w:tab/>
            </w:r>
            <w:r>
              <w:rPr>
                <w:noProof/>
                <w:webHidden/>
              </w:rPr>
              <w:fldChar w:fldCharType="begin"/>
            </w:r>
            <w:r>
              <w:rPr>
                <w:noProof/>
                <w:webHidden/>
              </w:rPr>
              <w:instrText xml:space="preserve"> PAGEREF _Toc139042764 \h </w:instrText>
            </w:r>
            <w:r>
              <w:rPr>
                <w:noProof/>
                <w:webHidden/>
              </w:rPr>
            </w:r>
            <w:r>
              <w:rPr>
                <w:noProof/>
                <w:webHidden/>
              </w:rPr>
              <w:fldChar w:fldCharType="separate"/>
            </w:r>
            <w:r>
              <w:rPr>
                <w:noProof/>
                <w:webHidden/>
              </w:rPr>
              <w:t>28</w:t>
            </w:r>
            <w:r>
              <w:rPr>
                <w:noProof/>
                <w:webHidden/>
              </w:rPr>
              <w:fldChar w:fldCharType="end"/>
            </w:r>
          </w:hyperlink>
        </w:p>
        <w:p w14:paraId="260B8A9C" w14:textId="096680BB"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65" w:history="1">
            <w:r w:rsidRPr="009956B7">
              <w:rPr>
                <w:rStyle w:val="Lienhypertexte"/>
                <w:rFonts w:ascii="Impact" w:hAnsi="Impact"/>
                <w:noProof/>
              </w:rPr>
              <w:t>8.6.</w:t>
            </w:r>
            <w:r w:rsidRPr="009956B7">
              <w:rPr>
                <w:rStyle w:val="Lienhypertexte"/>
                <w:noProof/>
              </w:rPr>
              <w:t xml:space="preserve"> Une indication de l'évolution des choix méthodologiques et des résultats</w:t>
            </w:r>
            <w:r>
              <w:rPr>
                <w:noProof/>
                <w:webHidden/>
              </w:rPr>
              <w:tab/>
            </w:r>
            <w:r>
              <w:rPr>
                <w:noProof/>
                <w:webHidden/>
              </w:rPr>
              <w:fldChar w:fldCharType="begin"/>
            </w:r>
            <w:r>
              <w:rPr>
                <w:noProof/>
                <w:webHidden/>
              </w:rPr>
              <w:instrText xml:space="preserve"> PAGEREF _Toc139042765 \h </w:instrText>
            </w:r>
            <w:r>
              <w:rPr>
                <w:noProof/>
                <w:webHidden/>
              </w:rPr>
            </w:r>
            <w:r>
              <w:rPr>
                <w:noProof/>
                <w:webHidden/>
              </w:rPr>
              <w:fldChar w:fldCharType="separate"/>
            </w:r>
            <w:r>
              <w:rPr>
                <w:noProof/>
                <w:webHidden/>
              </w:rPr>
              <w:t>28</w:t>
            </w:r>
            <w:r>
              <w:rPr>
                <w:noProof/>
                <w:webHidden/>
              </w:rPr>
              <w:fldChar w:fldCharType="end"/>
            </w:r>
          </w:hyperlink>
        </w:p>
        <w:p w14:paraId="23D158D7" w14:textId="3A7B94CE" w:rsidR="00247B14" w:rsidRDefault="00247B14">
          <w:pPr>
            <w:pStyle w:val="TM1"/>
            <w:rPr>
              <w:rFonts w:asciiTheme="minorHAnsi" w:eastAsiaTheme="minorEastAsia" w:hAnsiTheme="minorHAnsi" w:cstheme="minorBidi"/>
              <w:bCs w:val="0"/>
              <w:caps w:val="0"/>
              <w:color w:val="auto"/>
              <w:sz w:val="22"/>
              <w:szCs w:val="22"/>
              <w:lang w:eastAsia="fr-FR"/>
            </w:rPr>
          </w:pPr>
          <w:hyperlink w:anchor="_Toc139042766" w:history="1">
            <w:r w:rsidRPr="009956B7">
              <w:rPr>
                <w:rStyle w:val="Lienhypertexte"/>
              </w:rPr>
              <w:t>Annexe 1 : Tableaux d’indicateurs relatifs aux exigences règlementaires (SFDR)</w:t>
            </w:r>
            <w:r>
              <w:rPr>
                <w:webHidden/>
              </w:rPr>
              <w:tab/>
            </w:r>
            <w:r>
              <w:rPr>
                <w:webHidden/>
              </w:rPr>
              <w:fldChar w:fldCharType="begin"/>
            </w:r>
            <w:r>
              <w:rPr>
                <w:webHidden/>
              </w:rPr>
              <w:instrText xml:space="preserve"> PAGEREF _Toc139042766 \h </w:instrText>
            </w:r>
            <w:r>
              <w:rPr>
                <w:webHidden/>
              </w:rPr>
            </w:r>
            <w:r>
              <w:rPr>
                <w:webHidden/>
              </w:rPr>
              <w:fldChar w:fldCharType="separate"/>
            </w:r>
            <w:r>
              <w:rPr>
                <w:webHidden/>
              </w:rPr>
              <w:t>29</w:t>
            </w:r>
            <w:r>
              <w:rPr>
                <w:webHidden/>
              </w:rPr>
              <w:fldChar w:fldCharType="end"/>
            </w:r>
          </w:hyperlink>
        </w:p>
        <w:p w14:paraId="314A059A" w14:textId="35F19685"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67" w:history="1">
            <w:r w:rsidRPr="009956B7">
              <w:rPr>
                <w:rStyle w:val="Lienhypertexte"/>
                <w:noProof/>
              </w:rPr>
              <w:t>Liste des produits financiers mentionnés en vertu de l'article 8 et 9 du Règlement Disclosure (SFDR)</w:t>
            </w:r>
            <w:r>
              <w:rPr>
                <w:noProof/>
                <w:webHidden/>
              </w:rPr>
              <w:tab/>
            </w:r>
            <w:r>
              <w:rPr>
                <w:noProof/>
                <w:webHidden/>
              </w:rPr>
              <w:fldChar w:fldCharType="begin"/>
            </w:r>
            <w:r>
              <w:rPr>
                <w:noProof/>
                <w:webHidden/>
              </w:rPr>
              <w:instrText xml:space="preserve"> PAGEREF _Toc139042767 \h </w:instrText>
            </w:r>
            <w:r>
              <w:rPr>
                <w:noProof/>
                <w:webHidden/>
              </w:rPr>
            </w:r>
            <w:r>
              <w:rPr>
                <w:noProof/>
                <w:webHidden/>
              </w:rPr>
              <w:fldChar w:fldCharType="separate"/>
            </w:r>
            <w:r>
              <w:rPr>
                <w:noProof/>
                <w:webHidden/>
              </w:rPr>
              <w:t>29</w:t>
            </w:r>
            <w:r>
              <w:rPr>
                <w:noProof/>
                <w:webHidden/>
              </w:rPr>
              <w:fldChar w:fldCharType="end"/>
            </w:r>
          </w:hyperlink>
        </w:p>
        <w:p w14:paraId="7FC5A215" w14:textId="037E645A" w:rsidR="00247B14" w:rsidRDefault="00247B14">
          <w:pPr>
            <w:pStyle w:val="TM2"/>
            <w:tabs>
              <w:tab w:val="right" w:leader="dot" w:pos="10194"/>
            </w:tabs>
            <w:rPr>
              <w:rFonts w:asciiTheme="minorHAnsi" w:eastAsiaTheme="minorEastAsia" w:hAnsiTheme="minorHAnsi" w:cstheme="minorBidi"/>
              <w:smallCaps w:val="0"/>
              <w:noProof/>
              <w:color w:val="auto"/>
              <w:sz w:val="22"/>
              <w:szCs w:val="22"/>
              <w:lang w:eastAsia="fr-FR"/>
            </w:rPr>
          </w:pPr>
          <w:hyperlink w:anchor="_Toc139042768" w:history="1">
            <w:r w:rsidRPr="009956B7">
              <w:rPr>
                <w:rStyle w:val="Lienhypertexte"/>
                <w:noProof/>
              </w:rPr>
              <w:t>Indicateurs sur les principales incidences négatives (SFDR)</w:t>
            </w:r>
            <w:r>
              <w:rPr>
                <w:noProof/>
                <w:webHidden/>
              </w:rPr>
              <w:tab/>
            </w:r>
            <w:r>
              <w:rPr>
                <w:noProof/>
                <w:webHidden/>
              </w:rPr>
              <w:fldChar w:fldCharType="begin"/>
            </w:r>
            <w:r>
              <w:rPr>
                <w:noProof/>
                <w:webHidden/>
              </w:rPr>
              <w:instrText xml:space="preserve"> PAGEREF _Toc139042768 \h </w:instrText>
            </w:r>
            <w:r>
              <w:rPr>
                <w:noProof/>
                <w:webHidden/>
              </w:rPr>
            </w:r>
            <w:r>
              <w:rPr>
                <w:noProof/>
                <w:webHidden/>
              </w:rPr>
              <w:fldChar w:fldCharType="separate"/>
            </w:r>
            <w:r>
              <w:rPr>
                <w:noProof/>
                <w:webHidden/>
              </w:rPr>
              <w:t>30</w:t>
            </w:r>
            <w:r>
              <w:rPr>
                <w:noProof/>
                <w:webHidden/>
              </w:rPr>
              <w:fldChar w:fldCharType="end"/>
            </w:r>
          </w:hyperlink>
        </w:p>
        <w:p w14:paraId="7762F928" w14:textId="5BE80839" w:rsidR="00C60ECA" w:rsidRDefault="00C60ECA">
          <w:r>
            <w:rPr>
              <w:b/>
              <w:bCs/>
            </w:rPr>
            <w:fldChar w:fldCharType="end"/>
          </w:r>
        </w:p>
      </w:sdtContent>
    </w:sdt>
    <w:p w14:paraId="4A70D293" w14:textId="0AE07B09" w:rsidR="00FD6718" w:rsidRPr="007A3B2B" w:rsidRDefault="007A3B2B" w:rsidP="007A3B2B">
      <w:pPr>
        <w:pStyle w:val="Titre1"/>
      </w:pPr>
      <w:bookmarkStart w:id="0" w:name="_Toc132901969"/>
      <w:bookmarkStart w:id="1" w:name="_Toc139042714"/>
      <w:r w:rsidRPr="007A3B2B">
        <w:lastRenderedPageBreak/>
        <w:t xml:space="preserve">Informations relatives a </w:t>
      </w:r>
      <w:r w:rsidR="00ED2BD9">
        <w:t>B</w:t>
      </w:r>
      <w:r w:rsidRPr="007A3B2B">
        <w:t xml:space="preserve">pifrance investissement sur la prise en compte des </w:t>
      </w:r>
      <w:bookmarkEnd w:id="0"/>
      <w:r w:rsidR="001E64CD">
        <w:t>enjeux</w:t>
      </w:r>
      <w:r w:rsidR="007839F1" w:rsidRPr="007A3B2B">
        <w:t xml:space="preserve"> </w:t>
      </w:r>
      <w:r w:rsidR="007839F1">
        <w:t>ESG</w:t>
      </w:r>
      <w:bookmarkEnd w:id="1"/>
    </w:p>
    <w:p w14:paraId="6D5CC911" w14:textId="5754A332" w:rsidR="002B6576" w:rsidRPr="00FD6718" w:rsidRDefault="002B6576" w:rsidP="00CF77A8">
      <w:r w:rsidRPr="00FD6718">
        <w:t xml:space="preserve">La société de gestion Bpifrance Investissement, filiale d’investissement en fonds propres de Bpifrance, a pour objectif, par ses interventions, d’une part, de répondre aux besoins en fonds propres des sociétés de toutes tailles, de la « jeune pousse » à la grande entreprise pour en financer et </w:t>
      </w:r>
      <w:r w:rsidR="00673208">
        <w:t xml:space="preserve">en </w:t>
      </w:r>
      <w:r w:rsidRPr="00FD6718">
        <w:t>accompagner le développement et la croissance, et, d’autre part, de dynamiser, orienter, et développer les acteurs privés du marché.</w:t>
      </w:r>
    </w:p>
    <w:p w14:paraId="1B9A749C" w14:textId="5B960520" w:rsidR="002B6576" w:rsidRPr="00FD6718" w:rsidRDefault="002B6576" w:rsidP="001605E0">
      <w:r w:rsidRPr="00FD6718">
        <w:t>Bpifrance exerce ces activités en prenant en compte les enjeux Environnementaux, Sociaux et de Gouvernance</w:t>
      </w:r>
      <w:r w:rsidR="00CF77A8">
        <w:t xml:space="preserve"> (ESG)</w:t>
      </w:r>
      <w:r w:rsidRPr="00FD6718">
        <w:t xml:space="preserve">, et en incitant à la prise en compte des meilleures pratiques en matière d’Investissement Socialement Responsable.  </w:t>
      </w:r>
    </w:p>
    <w:p w14:paraId="0F7839A6" w14:textId="77777777" w:rsidR="002B6576" w:rsidRPr="00FD6718" w:rsidRDefault="002B6576" w:rsidP="001605E0">
      <w:r w:rsidRPr="00FD6718">
        <w:t>Cette politique d’investissement responsable s’exerce en cohérence :</w:t>
      </w:r>
    </w:p>
    <w:p w14:paraId="124858E5" w14:textId="3E4B2325" w:rsidR="002B6576" w:rsidRPr="00FD6718" w:rsidRDefault="00F64633" w:rsidP="001605E0">
      <w:pPr>
        <w:pStyle w:val="Puce1"/>
      </w:pPr>
      <w:bookmarkStart w:id="2" w:name="_Hlk48222792"/>
      <w:r w:rsidRPr="00FD6718">
        <w:t>Avec</w:t>
      </w:r>
      <w:r w:rsidR="002B6576" w:rsidRPr="00FD6718">
        <w:t xml:space="preserve"> les référentiels internationaux </w:t>
      </w:r>
      <w:bookmarkEnd w:id="2"/>
      <w:r w:rsidR="002B6576" w:rsidRPr="00FD6718">
        <w:t>et avec les meilleures pratiques proactives de la place,</w:t>
      </w:r>
    </w:p>
    <w:p w14:paraId="7C86F685" w14:textId="2AE1A499" w:rsidR="002B6576" w:rsidRPr="00FD6718" w:rsidRDefault="00F64633" w:rsidP="001605E0">
      <w:pPr>
        <w:pStyle w:val="Puce1"/>
      </w:pPr>
      <w:r w:rsidRPr="00FD6718">
        <w:t>Avec</w:t>
      </w:r>
      <w:r w:rsidR="002B6576" w:rsidRPr="00FD6718">
        <w:t xml:space="preserve"> les orientations et les objectifs que poursuit Bpifrance Investissement de développement de l’économie dans un modèle durable, tout en assurant une rentabilité financière en ligne avec les pratiques de marché des investisseurs en capitaux.</w:t>
      </w:r>
    </w:p>
    <w:p w14:paraId="60AC4865" w14:textId="77777777" w:rsidR="002B6576" w:rsidRPr="00FD6718" w:rsidRDefault="002B6576" w:rsidP="001605E0"/>
    <w:p w14:paraId="4C62431A" w14:textId="317BDA4F" w:rsidR="002B6576" w:rsidRDefault="002B6576" w:rsidP="001605E0">
      <w:r w:rsidRPr="00FD6718">
        <w:t xml:space="preserve">Cette politique d’intégration générale de critères ESG et d’engagements (incitations à mieux faire et accompagnement) constitue une démarche constructive, </w:t>
      </w:r>
      <w:r w:rsidR="00673208">
        <w:t xml:space="preserve">pour </w:t>
      </w:r>
      <w:r w:rsidRPr="00FD6718">
        <w:t xml:space="preserve">contribuer à la diffusion dans le monde économique de l’attention portée aux questions ESG. </w:t>
      </w:r>
    </w:p>
    <w:p w14:paraId="336B2526" w14:textId="77777777" w:rsidR="00FD6718" w:rsidRPr="00271DF0" w:rsidRDefault="00FD6718" w:rsidP="00FD6718">
      <w:pPr>
        <w:spacing w:after="120"/>
        <w:rPr>
          <w:bCs/>
        </w:rPr>
      </w:pPr>
    </w:p>
    <w:p w14:paraId="423DA26C" w14:textId="09080BF0" w:rsidR="00FD6718" w:rsidRDefault="008D435A" w:rsidP="00306121">
      <w:pPr>
        <w:pStyle w:val="Titre2"/>
      </w:pPr>
      <w:bookmarkStart w:id="3" w:name="_Toc132901970"/>
      <w:bookmarkStart w:id="4" w:name="_Ref137729499"/>
      <w:bookmarkStart w:id="5" w:name="_Toc139042715"/>
      <w:r>
        <w:t>Ré</w:t>
      </w:r>
      <w:r w:rsidR="00FD6718" w:rsidRPr="006D3AE6">
        <w:t xml:space="preserve">sumé de la démarche générale de l'entité sur la prise en compte de critères </w:t>
      </w:r>
      <w:bookmarkEnd w:id="3"/>
      <w:bookmarkEnd w:id="4"/>
      <w:r w:rsidR="007834E5">
        <w:t>ESG</w:t>
      </w:r>
      <w:bookmarkEnd w:id="5"/>
    </w:p>
    <w:p w14:paraId="7BCFFA8D" w14:textId="77777777" w:rsidR="0043674E" w:rsidRPr="00663199" w:rsidRDefault="0043674E" w:rsidP="0043674E">
      <w:r w:rsidRPr="00663199">
        <w:t>Bpifrance Investissement est :</w:t>
      </w:r>
    </w:p>
    <w:p w14:paraId="74CBEB68" w14:textId="77777777" w:rsidR="0043674E" w:rsidRPr="0043674E" w:rsidRDefault="0043674E" w:rsidP="0043674E">
      <w:pPr>
        <w:pStyle w:val="Puce1"/>
      </w:pPr>
      <w:r w:rsidRPr="00D76D71">
        <w:t>Un</w:t>
      </w:r>
      <w:r>
        <w:t xml:space="preserve"> </w:t>
      </w:r>
      <w:r w:rsidRPr="0043674E">
        <w:t>investisseur avisé opérant aux conditions de marché,</w:t>
      </w:r>
    </w:p>
    <w:p w14:paraId="4E12DC1B" w14:textId="77777777" w:rsidR="0043674E" w:rsidRPr="0043674E" w:rsidRDefault="0043674E" w:rsidP="0043674E">
      <w:pPr>
        <w:pStyle w:val="Puce1"/>
      </w:pPr>
      <w:r w:rsidRPr="0043674E">
        <w:t>Un investisseur patient, qui adapte son horizon d’investissement, par exemple au contexte technologique de l’entreprise, et peut accepter que la rentabilité de ses investissements se matérialise sur un horizon de temps plus long que la plupart des investisseurs privés,</w:t>
      </w:r>
    </w:p>
    <w:p w14:paraId="4492E43B" w14:textId="112C659A" w:rsidR="0043674E" w:rsidRPr="00D76D71" w:rsidRDefault="00673208" w:rsidP="0043674E">
      <w:pPr>
        <w:pStyle w:val="Puce1"/>
      </w:pPr>
      <w:r>
        <w:t>Un investisseur a</w:t>
      </w:r>
      <w:r w:rsidR="0043674E" w:rsidRPr="0043674E">
        <w:t xml:space="preserve">u service de l’intérêt collectif, dont les décisions sont prises </w:t>
      </w:r>
      <w:r>
        <w:t xml:space="preserve">non seulement </w:t>
      </w:r>
      <w:r w:rsidR="0043674E" w:rsidRPr="0043674E">
        <w:t xml:space="preserve">en </w:t>
      </w:r>
      <w:r>
        <w:t xml:space="preserve">fonction </w:t>
      </w:r>
      <w:r w:rsidR="0043674E" w:rsidRPr="0043674E">
        <w:t xml:space="preserve">de la nécessaire appréciation de la performance financière des entreprises (profitabilité, soutenabilité, liquidité), </w:t>
      </w:r>
      <w:r>
        <w:t xml:space="preserve">mais également </w:t>
      </w:r>
      <w:r w:rsidR="0043674E" w:rsidRPr="0043674E">
        <w:t>au regard de l’impact des projets sur la compétitivité de l’économie française</w:t>
      </w:r>
      <w:r w:rsidR="006149BB">
        <w:t>. Cet impact</w:t>
      </w:r>
      <w:r w:rsidR="00A117DE">
        <w:t xml:space="preserve"> est</w:t>
      </w:r>
      <w:r w:rsidR="0043674E" w:rsidRPr="0043674E">
        <w:t xml:space="preserve"> évalué à l’aune d’une grille d’analyse multicritères, intégrant des critères extra-financiers tels que le potentiel de développement à l’export et à l’international, la contribution à l’innovation, les</w:t>
      </w:r>
      <w:r w:rsidR="0043674E" w:rsidRPr="00D76D71">
        <w:t xml:space="preserve"> pratiques ESG, les effets sur l’emploi et le développement du territoire, le rôle dans la filière, le développement des entreprises familiales, etc</w:t>
      </w:r>
      <w:r w:rsidR="008E20F1">
        <w:t>.</w:t>
      </w:r>
    </w:p>
    <w:p w14:paraId="524A7EE7" w14:textId="77777777" w:rsidR="0043674E" w:rsidRPr="00663199" w:rsidRDefault="0043674E" w:rsidP="0043674E"/>
    <w:p w14:paraId="0EF34B19" w14:textId="77777777" w:rsidR="0043674E" w:rsidRPr="00663199" w:rsidRDefault="0043674E" w:rsidP="0043674E">
      <w:r w:rsidRPr="00663199">
        <w:t>Bpifrance Investissement n’investit pas au capital de certaines catégories</w:t>
      </w:r>
      <w:r>
        <w:t xml:space="preserve"> </w:t>
      </w:r>
      <w:r w:rsidRPr="00663199">
        <w:t xml:space="preserve">d’entreprises : </w:t>
      </w:r>
    </w:p>
    <w:p w14:paraId="2694B621" w14:textId="26C302D7" w:rsidR="0043674E" w:rsidRPr="00D76D71" w:rsidRDefault="0043674E" w:rsidP="0043674E">
      <w:pPr>
        <w:pStyle w:val="Puce1"/>
      </w:pPr>
      <w:r w:rsidRPr="00D76D71">
        <w:t>Les sociétés dédiées au financement des projets de construction des infrastructures (en revanche, Bpifrance Investissement peut investir dans les entreprises qui interviennent dans la construction ou l’exploitation d’infrastructures)</w:t>
      </w:r>
      <w:r w:rsidR="00EE7BA8">
        <w:t>,</w:t>
      </w:r>
    </w:p>
    <w:p w14:paraId="321BE4BC" w14:textId="2250B877" w:rsidR="0043674E" w:rsidRPr="00D76D71" w:rsidRDefault="0043674E" w:rsidP="0043674E">
      <w:pPr>
        <w:pStyle w:val="Puce1"/>
      </w:pPr>
      <w:r w:rsidRPr="00D76D71">
        <w:t>Les</w:t>
      </w:r>
      <w:r>
        <w:t xml:space="preserve"> </w:t>
      </w:r>
      <w:r w:rsidRPr="00D76D71">
        <w:t>entreprises ayant une activité principale de promotion ou de foncière immobilière</w:t>
      </w:r>
      <w:r w:rsidR="00EE7BA8">
        <w:t>,</w:t>
      </w:r>
    </w:p>
    <w:p w14:paraId="7322C47B" w14:textId="0DC17637" w:rsidR="0043674E" w:rsidRPr="00D76D71" w:rsidRDefault="0043674E" w:rsidP="0043674E">
      <w:pPr>
        <w:pStyle w:val="Puce1"/>
      </w:pPr>
      <w:r w:rsidRPr="00D76D71">
        <w:t>Les</w:t>
      </w:r>
      <w:r>
        <w:t xml:space="preserve"> </w:t>
      </w:r>
      <w:r w:rsidRPr="00D76D71">
        <w:t>banques et compagnies d’assurance</w:t>
      </w:r>
      <w:r w:rsidR="00EE7BA8">
        <w:t>,</w:t>
      </w:r>
    </w:p>
    <w:p w14:paraId="17D887C4" w14:textId="51E0CC4F" w:rsidR="0043674E" w:rsidRPr="00D76D71" w:rsidRDefault="0043674E" w:rsidP="0043674E">
      <w:pPr>
        <w:pStyle w:val="Puce1"/>
      </w:pPr>
      <w:r w:rsidRPr="00D76D71">
        <w:t>Les</w:t>
      </w:r>
      <w:r>
        <w:t xml:space="preserve"> </w:t>
      </w:r>
      <w:r w:rsidRPr="00D76D71">
        <w:t>organes de presse d’opinion et les instituts de sondage pour prévenir tout conflit d’intérêt et préserver sa neutralité</w:t>
      </w:r>
      <w:r w:rsidR="00EE7BA8">
        <w:t>,</w:t>
      </w:r>
    </w:p>
    <w:p w14:paraId="68DD1F07" w14:textId="24AE72F9" w:rsidR="0043674E" w:rsidRDefault="0043674E" w:rsidP="0043674E">
      <w:pPr>
        <w:pStyle w:val="Puce1"/>
      </w:pPr>
      <w:r w:rsidRPr="00D76D71">
        <w:t>Les</w:t>
      </w:r>
      <w:r>
        <w:t xml:space="preserve"> </w:t>
      </w:r>
      <w:r w:rsidRPr="00D76D71">
        <w:t>Sociétés d’Économie Mixte (SEM) qui peuvent par ailleurs faire l’objet d’investissement de la Caisse des Dépôts</w:t>
      </w:r>
      <w:r w:rsidR="009846A0">
        <w:t>,</w:t>
      </w:r>
    </w:p>
    <w:p w14:paraId="6DDB16A6" w14:textId="03AF3845" w:rsidR="008522FD" w:rsidRDefault="006B2545" w:rsidP="008522FD">
      <w:pPr>
        <w:pStyle w:val="Puce1"/>
      </w:pPr>
      <w:r>
        <w:t>Les e</w:t>
      </w:r>
      <w:r w:rsidR="008522FD">
        <w:t>ntreprises ou activité</w:t>
      </w:r>
      <w:r>
        <w:t>s</w:t>
      </w:r>
      <w:r w:rsidR="008522FD">
        <w:t xml:space="preserve"> dans le secteur des énergies fossiles, selon les modalités définies dans le chapitre sur le climat</w:t>
      </w:r>
      <w:r>
        <w:t>,</w:t>
      </w:r>
    </w:p>
    <w:p w14:paraId="0900DB37" w14:textId="4DC77693" w:rsidR="008522FD" w:rsidRDefault="006B2545" w:rsidP="008522FD">
      <w:pPr>
        <w:pStyle w:val="Puce1"/>
      </w:pPr>
      <w:r>
        <w:t>Les e</w:t>
      </w:r>
      <w:r w:rsidR="008522FD">
        <w:t>ntreprises ou activité principale de fabrication ou de commerce lié à la pornographie</w:t>
      </w:r>
      <w:r>
        <w:t>,</w:t>
      </w:r>
    </w:p>
    <w:p w14:paraId="00E678AB" w14:textId="6E68CDE8" w:rsidR="008522FD" w:rsidRDefault="006B2545" w:rsidP="008522FD">
      <w:pPr>
        <w:pStyle w:val="Puce1"/>
      </w:pPr>
      <w:r>
        <w:t>Les e</w:t>
      </w:r>
      <w:r w:rsidR="008522FD">
        <w:t>ntreprises ou activité principale de fabrication, de stockage ou de vente du tabac</w:t>
      </w:r>
      <w:r w:rsidR="008C0D54">
        <w:rPr>
          <w:rStyle w:val="Appelnotedebasdep"/>
        </w:rPr>
        <w:footnoteReference w:id="2"/>
      </w:r>
      <w:r>
        <w:t>,</w:t>
      </w:r>
    </w:p>
    <w:p w14:paraId="24AFE7A1" w14:textId="0F2F0C81" w:rsidR="008522FD" w:rsidRDefault="006B2545" w:rsidP="008522FD">
      <w:pPr>
        <w:pStyle w:val="Puce1"/>
      </w:pPr>
      <w:r>
        <w:lastRenderedPageBreak/>
        <w:t>Les e</w:t>
      </w:r>
      <w:r w:rsidR="008522FD">
        <w:t>ntreprises ou activité principale de commerce de jeux d’argent</w:t>
      </w:r>
      <w:r w:rsidR="008C0D54">
        <w:rPr>
          <w:rStyle w:val="Appelnotedebasdep"/>
        </w:rPr>
        <w:footnoteReference w:id="3"/>
      </w:r>
      <w:r>
        <w:rPr>
          <w:rFonts w:ascii="Calibri" w:hAnsi="Calibri" w:cs="Calibri"/>
          <w:sz w:val="14"/>
          <w:szCs w:val="14"/>
        </w:rPr>
        <w:t>,</w:t>
      </w:r>
    </w:p>
    <w:p w14:paraId="0B55C51D" w14:textId="0887FDFA" w:rsidR="008522FD" w:rsidRDefault="008522FD" w:rsidP="008522FD">
      <w:pPr>
        <w:pStyle w:val="Puce1"/>
      </w:pPr>
      <w:r>
        <w:t>La production, le développement, le stockage, la distribution, la commercialisation ou l’utilisation des mines antipersonnel</w:t>
      </w:r>
      <w:r w:rsidR="008C0D54">
        <w:rPr>
          <w:rStyle w:val="Appelnotedebasdep"/>
        </w:rPr>
        <w:footnoteReference w:id="4"/>
      </w:r>
      <w:r>
        <w:t>, des bombes à sous-munitions</w:t>
      </w:r>
      <w:r w:rsidR="008C0D54">
        <w:rPr>
          <w:rStyle w:val="Appelnotedebasdep"/>
        </w:rPr>
        <w:footnoteReference w:id="5"/>
      </w:r>
      <w:r>
        <w:t>, des armes chimiques</w:t>
      </w:r>
      <w:r w:rsidR="008C0D54">
        <w:rPr>
          <w:rStyle w:val="Appelnotedebasdep"/>
        </w:rPr>
        <w:footnoteReference w:id="6"/>
      </w:r>
      <w:r>
        <w:t>, des armes nucléaires vendues en dehors des pays signataires du Traité de non-prolifération des armes nucléaires</w:t>
      </w:r>
      <w:r w:rsidR="008C0D54">
        <w:rPr>
          <w:rStyle w:val="Appelnotedebasdep"/>
        </w:rPr>
        <w:footnoteReference w:id="7"/>
      </w:r>
      <w:r>
        <w:rPr>
          <w:rFonts w:ascii="Calibri" w:hAnsi="Calibri" w:cs="Calibri"/>
          <w:sz w:val="14"/>
          <w:szCs w:val="14"/>
        </w:rPr>
        <w:t xml:space="preserve"> </w:t>
      </w:r>
      <w:r>
        <w:t>et des armes biologiques</w:t>
      </w:r>
      <w:r w:rsidR="008C0D54">
        <w:rPr>
          <w:rStyle w:val="Appelnotedebasdep"/>
        </w:rPr>
        <w:footnoteReference w:id="8"/>
      </w:r>
      <w:r w:rsidR="006B2545">
        <w:rPr>
          <w:rFonts w:ascii="Calibri" w:hAnsi="Calibri" w:cs="Calibri"/>
          <w:sz w:val="14"/>
          <w:szCs w:val="14"/>
        </w:rPr>
        <w:t>,</w:t>
      </w:r>
    </w:p>
    <w:p w14:paraId="5A103402" w14:textId="43BEBA86" w:rsidR="008522FD" w:rsidRDefault="008522FD" w:rsidP="008522FD">
      <w:pPr>
        <w:pStyle w:val="Puce1"/>
      </w:pPr>
      <w:r>
        <w:t>L</w:t>
      </w:r>
      <w:r w:rsidR="00D209EA">
        <w:t>a</w:t>
      </w:r>
      <w:r>
        <w:t xml:space="preserve"> spéculation sur les matières premières agricoles qui ont des impacts directs sur les prix alimentaires</w:t>
      </w:r>
      <w:r w:rsidR="003F79F7">
        <w:rPr>
          <w:rStyle w:val="Appelnotedebasdep"/>
        </w:rPr>
        <w:footnoteReference w:id="9"/>
      </w:r>
      <w:r>
        <w:t>.</w:t>
      </w:r>
    </w:p>
    <w:p w14:paraId="10EC7149" w14:textId="77777777" w:rsidR="002A3B0D" w:rsidRDefault="002A3B0D" w:rsidP="0043674E"/>
    <w:p w14:paraId="05FC2B8F" w14:textId="29E6A8F4" w:rsidR="0043674E" w:rsidRPr="00663199" w:rsidRDefault="0043674E" w:rsidP="0043674E">
      <w:r w:rsidRPr="00663199">
        <w:t>Dans la mesure du possible, Bpifrance Investissement siège aux conseils d’administration ou organes de gouvernance des participations de son portefeuille et aux comités consultatifs et stratégiques des fonds partenaires.</w:t>
      </w:r>
    </w:p>
    <w:p w14:paraId="361FC286" w14:textId="77777777" w:rsidR="0043674E" w:rsidRPr="00663199" w:rsidRDefault="0043674E" w:rsidP="0043674E"/>
    <w:p w14:paraId="07D9B066" w14:textId="211EA564" w:rsidR="0043674E" w:rsidRDefault="0043674E" w:rsidP="0043674E">
      <w:r w:rsidRPr="00663199">
        <w:t xml:space="preserve">Bpifrance Investissement adopte une logique d’investisseur socialement responsable et promeut celle-ci auprès de ses fonds partenaires et des entreprises financées, conformément à sa politique d’investisseur responsable. À ce titre, dans le cadre de l’étude des projets d’investissements directs, Bpifrance Investissement prend en compte des critères Environnementaux, Sociaux et de Gouvernance, notamment au travers des </w:t>
      </w:r>
      <w:r w:rsidRPr="00BB4DC6">
        <w:rPr>
          <w:i/>
          <w:iCs/>
        </w:rPr>
        <w:t>due diligences</w:t>
      </w:r>
      <w:r w:rsidRPr="00663199">
        <w:t xml:space="preserve"> Bpifrance </w:t>
      </w:r>
      <w:r w:rsidRPr="00BB4DC6">
        <w:rPr>
          <w:i/>
          <w:iCs/>
        </w:rPr>
        <w:t>ad hoc</w:t>
      </w:r>
      <w:r w:rsidRPr="00663199">
        <w:t>. Dans le cadre de ses activités d’investissements en fonds de fonds, la prise en compte des dimensions ESG des investissements fait partie des critères de sélection des équipes de gestion partenaires de Bpifrance Investissement.</w:t>
      </w:r>
    </w:p>
    <w:p w14:paraId="008E8860" w14:textId="77777777" w:rsidR="00EE7BA8" w:rsidRPr="00663199" w:rsidRDefault="00EE7BA8" w:rsidP="0043674E"/>
    <w:p w14:paraId="4C66B0E3" w14:textId="5854EC44" w:rsidR="0043674E" w:rsidRDefault="0043674E" w:rsidP="0043674E">
      <w:r w:rsidRPr="00663199">
        <w:t xml:space="preserve">En outre, Bpifrance Investissement veille à ce que ces équipes de gestion partenaires </w:t>
      </w:r>
      <w:r w:rsidR="00673208">
        <w:t xml:space="preserve">de son activité de fonds de fonds </w:t>
      </w:r>
      <w:r w:rsidRPr="00663199">
        <w:t>s’engagent à prendre les dispositions pour les sociétés dans lesquelles elles investissent et adoptent une démarche de progression dans leur prise en compte des questions Environnementales, Sociales et de Gouvernance d’entreprise.</w:t>
      </w:r>
    </w:p>
    <w:p w14:paraId="41D22106" w14:textId="77777777" w:rsidR="0043674E" w:rsidRDefault="0043674E" w:rsidP="00FD6718">
      <w:pPr>
        <w:rPr>
          <w:rFonts w:cstheme="minorHAnsi"/>
        </w:rPr>
      </w:pPr>
    </w:p>
    <w:p w14:paraId="10533769" w14:textId="07782BA1" w:rsidR="00FD6718" w:rsidRPr="006D3AE6" w:rsidRDefault="001307BF" w:rsidP="00306121">
      <w:pPr>
        <w:pStyle w:val="Titre2"/>
      </w:pPr>
      <w:bookmarkStart w:id="6" w:name="_Toc132901971"/>
      <w:bookmarkStart w:id="7" w:name="_Toc139042716"/>
      <w:r>
        <w:t>I</w:t>
      </w:r>
      <w:r w:rsidR="00FD6718" w:rsidRPr="006D3AE6">
        <w:t>nform</w:t>
      </w:r>
      <w:r>
        <w:t>ation aux</w:t>
      </w:r>
      <w:r w:rsidR="00FD6718" w:rsidRPr="006D3AE6">
        <w:t xml:space="preserve"> souscripteurs </w:t>
      </w:r>
      <w:r>
        <w:t>et</w:t>
      </w:r>
      <w:r w:rsidR="00FD6718" w:rsidRPr="006D3AE6">
        <w:t xml:space="preserve"> </w:t>
      </w:r>
      <w:r w:rsidR="00ED2BD9">
        <w:t>c</w:t>
      </w:r>
      <w:r w:rsidR="00FD6718" w:rsidRPr="006D3AE6">
        <w:t xml:space="preserve">lients sur les critères relatifs aux objectifs </w:t>
      </w:r>
      <w:r w:rsidR="00196DED">
        <w:t>ESG</w:t>
      </w:r>
      <w:r w:rsidR="00FD6718" w:rsidRPr="006D3AE6">
        <w:t xml:space="preserve"> pris en compte dans la politique et la stratégie d'investissement</w:t>
      </w:r>
      <w:bookmarkEnd w:id="6"/>
      <w:bookmarkEnd w:id="7"/>
      <w:r w:rsidR="00FD6718" w:rsidRPr="006D3AE6">
        <w:t xml:space="preserve"> </w:t>
      </w:r>
    </w:p>
    <w:p w14:paraId="7347DA3A" w14:textId="559B3666" w:rsidR="00FC0222" w:rsidRDefault="00FC0222" w:rsidP="003C5AAF">
      <w:r>
        <w:t>La doctrine d’intervention de Bpifrance, notamment dans les activités exercées par Bpifrance Investissement, est publiée sur le site du Groupe</w:t>
      </w:r>
      <w:r w:rsidR="004C7E31">
        <w:t xml:space="preserve"> (</w:t>
      </w:r>
      <w:hyperlink r:id="rId13" w:history="1">
        <w:r w:rsidR="004C7E31" w:rsidRPr="004C7E31">
          <w:rPr>
            <w:rStyle w:val="Lienhypertexte"/>
          </w:rPr>
          <w:t>lien</w:t>
        </w:r>
      </w:hyperlink>
      <w:r w:rsidR="004C7E31">
        <w:t>)</w:t>
      </w:r>
      <w:r>
        <w:t>, ainsi que les politiques d’investisseur responsable, de durabilité et de diligences raisonnables et le rapport annuel</w:t>
      </w:r>
      <w:r w:rsidR="004C7E31">
        <w:t xml:space="preserve"> (</w:t>
      </w:r>
      <w:hyperlink r:id="rId14" w:history="1">
        <w:r w:rsidR="004C7E31" w:rsidRPr="004C7E31">
          <w:rPr>
            <w:rStyle w:val="Lienhypertexte"/>
          </w:rPr>
          <w:t>lien vers ces politiques</w:t>
        </w:r>
      </w:hyperlink>
      <w:r w:rsidR="004C7E31">
        <w:t>)</w:t>
      </w:r>
      <w:r>
        <w:t>.</w:t>
      </w:r>
    </w:p>
    <w:p w14:paraId="63ED9DCF" w14:textId="77777777" w:rsidR="003C5AAF" w:rsidRDefault="003C5AAF" w:rsidP="003C5AAF"/>
    <w:p w14:paraId="268BD20A" w14:textId="77777777" w:rsidR="00FC0222" w:rsidRDefault="00FC0222" w:rsidP="003C5AAF">
      <w:r>
        <w:t>Les investisseurs tiers des fonds gérés par Bpifrance Investissement sont destinataires des informations pré contractuelles et des rapports de gestion desdits fonds.</w:t>
      </w:r>
    </w:p>
    <w:p w14:paraId="01FC5934" w14:textId="77777777" w:rsidR="00245488" w:rsidRPr="00245488" w:rsidRDefault="00245488" w:rsidP="00245488"/>
    <w:p w14:paraId="75463A0E" w14:textId="48E97A5F" w:rsidR="00FD6718" w:rsidRPr="006601E6" w:rsidRDefault="00FD6718" w:rsidP="00306121">
      <w:pPr>
        <w:pStyle w:val="Titre2"/>
      </w:pPr>
      <w:bookmarkStart w:id="8" w:name="_Toc132901972"/>
      <w:bookmarkStart w:id="9" w:name="_Toc136868971"/>
      <w:bookmarkStart w:id="10" w:name="_Toc139042717"/>
      <w:r w:rsidRPr="006601E6">
        <w:lastRenderedPageBreak/>
        <w:t xml:space="preserve">Adhésion de </w:t>
      </w:r>
      <w:r w:rsidR="008E5BD5">
        <w:t>Bpifrance</w:t>
      </w:r>
      <w:r w:rsidRPr="006601E6">
        <w:t xml:space="preserve"> à </w:t>
      </w:r>
      <w:r w:rsidR="008E5BD5">
        <w:t>des</w:t>
      </w:r>
      <w:r w:rsidRPr="006601E6">
        <w:t xml:space="preserve"> charte</w:t>
      </w:r>
      <w:r w:rsidR="008E5BD5">
        <w:t>s</w:t>
      </w:r>
      <w:r w:rsidRPr="006601E6">
        <w:t>, code</w:t>
      </w:r>
      <w:r w:rsidR="008E5BD5">
        <w:t>s</w:t>
      </w:r>
      <w:r w:rsidRPr="006601E6">
        <w:t>, initiative</w:t>
      </w:r>
      <w:r w:rsidR="008E5BD5">
        <w:t>s</w:t>
      </w:r>
      <w:r w:rsidRPr="006601E6">
        <w:t xml:space="preserve"> </w:t>
      </w:r>
      <w:r w:rsidR="008E5BD5">
        <w:t>prenant</w:t>
      </w:r>
      <w:r w:rsidRPr="006601E6">
        <w:t xml:space="preserve"> en compte </w:t>
      </w:r>
      <w:r w:rsidR="00FD7CFB">
        <w:t>les</w:t>
      </w:r>
      <w:r w:rsidRPr="006601E6">
        <w:t xml:space="preserve"> critères </w:t>
      </w:r>
      <w:bookmarkEnd w:id="8"/>
      <w:bookmarkEnd w:id="9"/>
      <w:r w:rsidR="001611C6">
        <w:t>ESG</w:t>
      </w:r>
      <w:bookmarkEnd w:id="10"/>
    </w:p>
    <w:p w14:paraId="370BAEA5" w14:textId="66C6B4AA" w:rsidR="003F2C61" w:rsidRDefault="008829C3" w:rsidP="00652984">
      <w:r>
        <w:t xml:space="preserve">Bpifrance </w:t>
      </w:r>
      <w:r w:rsidR="00D3424A">
        <w:t xml:space="preserve">est </w:t>
      </w:r>
      <w:r w:rsidR="00E60563" w:rsidRPr="00E60563">
        <w:t>engagé</w:t>
      </w:r>
      <w:r w:rsidR="009F7468">
        <w:t>e</w:t>
      </w:r>
      <w:r w:rsidR="00E60563" w:rsidRPr="00E60563">
        <w:t xml:space="preserve"> dans la transition écologique et énergétique des entreprises et la lutte contre le changement climatique</w:t>
      </w:r>
      <w:r w:rsidR="00673208">
        <w:t>, notamment en ayant adhéré à :</w:t>
      </w:r>
      <w:r w:rsidR="009F7468">
        <w:t xml:space="preserve"> </w:t>
      </w:r>
    </w:p>
    <w:p w14:paraId="7BD28930" w14:textId="4CE8CE94" w:rsidR="00E60563" w:rsidRPr="00E60563" w:rsidRDefault="00034668" w:rsidP="00652984">
      <w:pPr>
        <w:pStyle w:val="Puce1"/>
      </w:pPr>
      <w:r w:rsidRPr="00E60563">
        <w:t>L</w:t>
      </w:r>
      <w:r w:rsidR="00E60563" w:rsidRPr="00E60563">
        <w:t xml:space="preserve">a Déclaration Mondiale sur le Changement climatique, les Engagements de Montréal et de Paris et la </w:t>
      </w:r>
      <w:r w:rsidR="00E60563" w:rsidRPr="00F64633">
        <w:rPr>
          <w:i/>
          <w:iCs/>
        </w:rPr>
        <w:t>Financial Institutions’ Declaration of Intent on Energy Efficiency</w:t>
      </w:r>
      <w:r w:rsidR="00652984">
        <w:t>,</w:t>
      </w:r>
    </w:p>
    <w:p w14:paraId="3852FE75" w14:textId="46D1957B" w:rsidR="00652984" w:rsidRDefault="00034668" w:rsidP="00B222DE">
      <w:pPr>
        <w:pStyle w:val="Puce1"/>
      </w:pPr>
      <w:r w:rsidRPr="00E60563">
        <w:t>L</w:t>
      </w:r>
      <w:r w:rsidR="00E60563" w:rsidRPr="00E60563">
        <w:t xml:space="preserve">a charte des investisseurs publics en faveur du climat, de la charte des investisseurs publics en faveur des </w:t>
      </w:r>
      <w:r w:rsidR="003F2C61">
        <w:t>objectifs de développement durable</w:t>
      </w:r>
      <w:r w:rsidR="00E60563" w:rsidRPr="00E60563">
        <w:t>, les Principes de Santiago et les Principes de Poséidon</w:t>
      </w:r>
      <w:r w:rsidR="00652984">
        <w:t>.</w:t>
      </w:r>
    </w:p>
    <w:p w14:paraId="1DA869BB" w14:textId="77777777" w:rsidR="00B222DE" w:rsidRDefault="00B222DE" w:rsidP="00652984"/>
    <w:p w14:paraId="24153338" w14:textId="71607D00" w:rsidR="00E60563" w:rsidRPr="00E60563" w:rsidRDefault="009B61A8" w:rsidP="00652984">
      <w:r>
        <w:t>Bpifrance soutient en outre les</w:t>
      </w:r>
      <w:r w:rsidR="00E60563" w:rsidRPr="00E60563">
        <w:t xml:space="preserve"> initiatives</w:t>
      </w:r>
      <w:r>
        <w:t xml:space="preserve"> suivantes </w:t>
      </w:r>
      <w:r w:rsidR="00E60563" w:rsidRPr="00E60563">
        <w:t>:</w:t>
      </w:r>
    </w:p>
    <w:p w14:paraId="5C5ABBE4" w14:textId="054A7D42" w:rsidR="00E60563" w:rsidRPr="00E60563" w:rsidRDefault="009B61A8" w:rsidP="00652984">
      <w:pPr>
        <w:pStyle w:val="Puce1"/>
      </w:pPr>
      <w:r>
        <w:t>D</w:t>
      </w:r>
      <w:r w:rsidR="00E60563" w:rsidRPr="00E60563">
        <w:t>éploiement de</w:t>
      </w:r>
      <w:r w:rsidR="0092713F">
        <w:t xml:space="preserve"> la</w:t>
      </w:r>
      <w:r w:rsidR="00E60563" w:rsidRPr="00E60563">
        <w:t xml:space="preserve"> méthodologie</w:t>
      </w:r>
      <w:r w:rsidR="00891499">
        <w:t xml:space="preserve"> de l’ADEME</w:t>
      </w:r>
      <w:r w:rsidR="00980024">
        <w:t xml:space="preserve"> </w:t>
      </w:r>
      <w:r w:rsidR="00980024" w:rsidRPr="008E4C04">
        <w:rPr>
          <w:i/>
          <w:iCs/>
        </w:rPr>
        <w:t>Assessing low-Carbon Transition</w:t>
      </w:r>
      <w:r w:rsidR="00E60563" w:rsidRPr="00E60563">
        <w:t xml:space="preserve"> </w:t>
      </w:r>
      <w:r w:rsidR="00980024">
        <w:t>(</w:t>
      </w:r>
      <w:r w:rsidR="00E60563" w:rsidRPr="00E60563">
        <w:t>ACT</w:t>
      </w:r>
      <w:r w:rsidR="00980024">
        <w:t>)</w:t>
      </w:r>
      <w:r w:rsidR="00F631F4">
        <w:t>,</w:t>
      </w:r>
    </w:p>
    <w:p w14:paraId="1FE6FDC9" w14:textId="61551EEE" w:rsidR="00E60563" w:rsidRPr="00E60563" w:rsidRDefault="00E60563" w:rsidP="00652984">
      <w:pPr>
        <w:pStyle w:val="Puce1"/>
      </w:pPr>
      <w:r w:rsidRPr="00E60563">
        <w:t>Planet Tech Care pour la réduction de l’empreinte numérique</w:t>
      </w:r>
      <w:r w:rsidR="00F631F4">
        <w:t>,</w:t>
      </w:r>
    </w:p>
    <w:p w14:paraId="72BBB776" w14:textId="541747ED" w:rsidR="00F631F4" w:rsidRPr="00E60563" w:rsidRDefault="00F631F4" w:rsidP="00B222DE">
      <w:pPr>
        <w:pStyle w:val="Puce1"/>
      </w:pPr>
      <w:r>
        <w:t>M</w:t>
      </w:r>
      <w:r w:rsidR="00E60563" w:rsidRPr="00E60563">
        <w:t xml:space="preserve">embre du Carbon Disclosure Project, et de l’initiative internationale </w:t>
      </w:r>
      <w:r w:rsidR="00E60563" w:rsidRPr="00F64633">
        <w:rPr>
          <w:i/>
          <w:iCs/>
        </w:rPr>
        <w:t>One Planet Sovereign Wealth Funds</w:t>
      </w:r>
      <w:r w:rsidR="00E60563" w:rsidRPr="00E60563">
        <w:t xml:space="preserve"> (OPSWF) et en mettant en œuvre des exclusions de financement et d’investissement dans le secteur du tabac, ainsi que des exclusions de financement et investissement et des lignes d’engagement dans le secteur des énergies fossiles.</w:t>
      </w:r>
    </w:p>
    <w:p w14:paraId="5AA69550" w14:textId="77777777" w:rsidR="00B222DE" w:rsidRDefault="00B222DE" w:rsidP="00D924EA">
      <w:pPr>
        <w:spacing w:line="276" w:lineRule="auto"/>
        <w:jc w:val="left"/>
      </w:pPr>
    </w:p>
    <w:p w14:paraId="699C9D1E" w14:textId="1C2F38E6" w:rsidR="00E60563" w:rsidRDefault="00E60563" w:rsidP="00D924EA">
      <w:r w:rsidRPr="00E60563">
        <w:t>Investisseur responsable, Bpifrance est signataire des Principes pour l’Investissement Responsable (PRI) promus par l’ONU</w:t>
      </w:r>
      <w:r w:rsidR="00640F75">
        <w:t xml:space="preserve"> depuis 2013</w:t>
      </w:r>
      <w:r w:rsidRPr="00E60563">
        <w:t>, et signataire de la charte Investisseur responsable de France Invest.</w:t>
      </w:r>
    </w:p>
    <w:p w14:paraId="07BF85EF" w14:textId="77777777" w:rsidR="00D924EA" w:rsidRPr="00E60563" w:rsidRDefault="00D924EA" w:rsidP="00D924EA"/>
    <w:p w14:paraId="384466D5" w14:textId="66E6255D" w:rsidR="00E60563" w:rsidRPr="00E60563" w:rsidRDefault="00E60563" w:rsidP="00D924EA">
      <w:r w:rsidRPr="00E60563">
        <w:t>Bpifrance Investissement est également signataire des chartes SISTA d’une part, et Parité de France Invest, d’autre part, qui visent à accélérer le financement des femmes entrepreneures, notamment dans les starts up et la place des femmes dans le management, des équipes de gestion comme dans les entreprises investies.</w:t>
      </w:r>
    </w:p>
    <w:p w14:paraId="28EF91DB" w14:textId="77777777" w:rsidR="00FD6718" w:rsidRPr="00B829F8" w:rsidRDefault="00FD6718" w:rsidP="00D924EA"/>
    <w:p w14:paraId="53A9DEC3" w14:textId="7D0E34B3" w:rsidR="001E12EF" w:rsidRPr="00B829F8" w:rsidRDefault="001E12EF" w:rsidP="00B829F8">
      <w:r w:rsidRPr="00B829F8">
        <w:rPr>
          <w:rStyle w:val="normaltextrun"/>
          <w:rFonts w:eastAsiaTheme="majorEastAsia" w:cs="Arial"/>
        </w:rPr>
        <w:t xml:space="preserve">Dans </w:t>
      </w:r>
      <w:r w:rsidRPr="00B829F8">
        <w:t>l’ensemble de ses décisions d’investissement, Bpifrance cherche à prendre systématiquement en compte les critères extra-financiers ESG susceptibles d’avoir un impact sur ses investissements. </w:t>
      </w:r>
    </w:p>
    <w:p w14:paraId="55300A8C" w14:textId="77777777" w:rsidR="00B829F8" w:rsidRPr="00B829F8" w:rsidRDefault="00B829F8" w:rsidP="00B829F8"/>
    <w:p w14:paraId="36D3CAD0" w14:textId="01794250" w:rsidR="001E12EF" w:rsidRPr="00B829F8" w:rsidRDefault="001E12EF" w:rsidP="00B829F8">
      <w:pPr>
        <w:rPr>
          <w:rFonts w:ascii="Segoe UI" w:hAnsi="Segoe UI" w:cs="Segoe UI"/>
          <w:sz w:val="18"/>
          <w:szCs w:val="18"/>
        </w:rPr>
      </w:pPr>
      <w:r w:rsidRPr="00B829F8">
        <w:rPr>
          <w:rStyle w:val="normaltextrun"/>
          <w:rFonts w:eastAsiaTheme="majorEastAsia" w:cs="Arial"/>
        </w:rPr>
        <w:t>Sa démarche d’investissement responsable est définie en cohérence avec les référentiels internationaux et avec les pratiques proactives de la place d’une part, et, d’autre part, avec les orientations et les objectifs poursuivis par Bpifrance</w:t>
      </w:r>
      <w:r w:rsidR="00673208">
        <w:rPr>
          <w:rStyle w:val="normaltextrun"/>
          <w:rFonts w:eastAsiaTheme="majorEastAsia" w:cs="Arial"/>
        </w:rPr>
        <w:t>.</w:t>
      </w:r>
      <w:r w:rsidRPr="00B829F8">
        <w:rPr>
          <w:rStyle w:val="normaltextrun"/>
          <w:rFonts w:eastAsiaTheme="majorEastAsia" w:cs="Arial"/>
        </w:rPr>
        <w:t xml:space="preserve"> La politique d’investisseur responsable est déployée dans son activité d’investissement direct comme dans celle de fonds de fonds, et s’inscrit :</w:t>
      </w:r>
      <w:r w:rsidRPr="00B829F8">
        <w:rPr>
          <w:rStyle w:val="eop"/>
          <w:rFonts w:eastAsiaTheme="majorEastAsia" w:cs="Arial"/>
        </w:rPr>
        <w:t> </w:t>
      </w:r>
    </w:p>
    <w:p w14:paraId="76185D95" w14:textId="4865411A" w:rsidR="001E12EF" w:rsidRPr="00B829F8" w:rsidRDefault="00DF6C6C" w:rsidP="00DF6C6C">
      <w:pPr>
        <w:pStyle w:val="Puce1"/>
      </w:pPr>
      <w:r w:rsidRPr="00B829F8">
        <w:rPr>
          <w:rStyle w:val="normaltextrun"/>
          <w:rFonts w:eastAsiaTheme="majorEastAsia" w:cs="Arial"/>
        </w:rPr>
        <w:t>D</w:t>
      </w:r>
      <w:r w:rsidR="001E12EF" w:rsidRPr="00B829F8">
        <w:rPr>
          <w:rStyle w:val="normaltextrun"/>
          <w:rFonts w:eastAsiaTheme="majorEastAsia" w:cs="Arial"/>
        </w:rPr>
        <w:t xml:space="preserve">ans le respect des dispositions de </w:t>
      </w:r>
      <w:r w:rsidR="00152734" w:rsidRPr="00152734">
        <w:rPr>
          <w:rStyle w:val="normaltextrun"/>
          <w:rFonts w:eastAsiaTheme="majorEastAsia" w:cs="Arial"/>
        </w:rPr>
        <w:t>l’ordonnance n°2005-722 du 29 juin 2005 relative à la création de l’établissement public</w:t>
      </w:r>
      <w:r w:rsidR="00152734">
        <w:rPr>
          <w:rStyle w:val="normaltextrun"/>
          <w:rFonts w:eastAsiaTheme="majorEastAsia" w:cs="Arial"/>
        </w:rPr>
        <w:t xml:space="preserve"> </w:t>
      </w:r>
      <w:r w:rsidR="00D0565B">
        <w:rPr>
          <w:rStyle w:val="normaltextrun"/>
          <w:rFonts w:eastAsiaTheme="majorEastAsia" w:cs="Arial"/>
        </w:rPr>
        <w:t xml:space="preserve">qui est aujourd’hui Bpifrance, modifié par </w:t>
      </w:r>
      <w:r w:rsidR="001E12EF" w:rsidRPr="00B829F8">
        <w:rPr>
          <w:rStyle w:val="normaltextrun"/>
          <w:rFonts w:eastAsiaTheme="majorEastAsia" w:cs="Arial"/>
        </w:rPr>
        <w:t>la loi 2012-1559 du 31 décembre</w:t>
      </w:r>
      <w:r w:rsidR="00B829F8">
        <w:rPr>
          <w:rStyle w:val="normaltextrun"/>
          <w:rFonts w:eastAsiaTheme="majorEastAsia" w:cs="Arial"/>
        </w:rPr>
        <w:t>,</w:t>
      </w:r>
    </w:p>
    <w:p w14:paraId="1FCB1D09" w14:textId="622E2033" w:rsidR="001E12EF" w:rsidRPr="00B829F8" w:rsidRDefault="00DF6C6C" w:rsidP="00DF6C6C">
      <w:pPr>
        <w:pStyle w:val="Puce1"/>
      </w:pPr>
      <w:r w:rsidRPr="00B829F8">
        <w:rPr>
          <w:rStyle w:val="normaltextrun"/>
          <w:rFonts w:eastAsiaTheme="majorEastAsia" w:cs="Arial"/>
        </w:rPr>
        <w:t>D</w:t>
      </w:r>
      <w:r w:rsidR="001E12EF" w:rsidRPr="00B829F8">
        <w:rPr>
          <w:rStyle w:val="normaltextrun"/>
          <w:rFonts w:eastAsiaTheme="majorEastAsia" w:cs="Arial"/>
        </w:rPr>
        <w:t>ans</w:t>
      </w:r>
      <w:r w:rsidRPr="00B829F8">
        <w:rPr>
          <w:rStyle w:val="normaltextrun"/>
          <w:rFonts w:eastAsiaTheme="majorEastAsia" w:cs="Arial"/>
        </w:rPr>
        <w:t xml:space="preserve"> </w:t>
      </w:r>
      <w:r w:rsidR="001E12EF" w:rsidRPr="00B829F8">
        <w:rPr>
          <w:rStyle w:val="normaltextrun"/>
          <w:rFonts w:eastAsiaTheme="majorEastAsia" w:cs="Arial"/>
        </w:rPr>
        <w:t xml:space="preserve">le respect des textes qui lui sont applicables en matière de lutte contre le blanchiment d’argent et le financement du terrorisme et contre la corruption et des conventions internationales signées par la </w:t>
      </w:r>
      <w:r w:rsidR="00B829F8">
        <w:rPr>
          <w:rStyle w:val="normaltextrun"/>
          <w:rFonts w:eastAsiaTheme="majorEastAsia" w:cs="Arial"/>
        </w:rPr>
        <w:t>France,</w:t>
      </w:r>
    </w:p>
    <w:p w14:paraId="4E259824" w14:textId="4A9ED318" w:rsidR="001E12EF" w:rsidRPr="00B829F8" w:rsidRDefault="00DF6C6C" w:rsidP="00DF6C6C">
      <w:pPr>
        <w:pStyle w:val="Puce1"/>
      </w:pPr>
      <w:r w:rsidRPr="00B829F8">
        <w:rPr>
          <w:rStyle w:val="normaltextrun"/>
          <w:rFonts w:eastAsiaTheme="majorEastAsia" w:cs="Arial"/>
        </w:rPr>
        <w:t>E</w:t>
      </w:r>
      <w:r w:rsidR="001E12EF" w:rsidRPr="00B829F8">
        <w:rPr>
          <w:rStyle w:val="normaltextrun"/>
          <w:rFonts w:eastAsiaTheme="majorEastAsia" w:cs="Arial"/>
        </w:rPr>
        <w:t>n</w:t>
      </w:r>
      <w:r w:rsidRPr="00B829F8">
        <w:rPr>
          <w:rStyle w:val="normaltextrun"/>
          <w:rFonts w:eastAsiaTheme="majorEastAsia" w:cs="Arial"/>
        </w:rPr>
        <w:t xml:space="preserve"> </w:t>
      </w:r>
      <w:r w:rsidR="001E12EF" w:rsidRPr="00B829F8">
        <w:rPr>
          <w:rStyle w:val="normaltextrun"/>
          <w:rFonts w:eastAsiaTheme="majorEastAsia" w:cs="Arial"/>
        </w:rPr>
        <w:t xml:space="preserve">cohérence avec la </w:t>
      </w:r>
      <w:r w:rsidR="001E12EF" w:rsidRPr="00B829F8">
        <w:rPr>
          <w:rStyle w:val="findhit"/>
          <w:rFonts w:eastAsiaTheme="majorEastAsia" w:cs="Arial"/>
        </w:rPr>
        <w:t>charte</w:t>
      </w:r>
      <w:r w:rsidR="001E12EF" w:rsidRPr="00B829F8">
        <w:rPr>
          <w:rStyle w:val="normaltextrun"/>
          <w:rFonts w:eastAsiaTheme="majorEastAsia" w:cs="Arial"/>
        </w:rPr>
        <w:t xml:space="preserve"> de responsabilité sociétale du groupe Bpifrance</w:t>
      </w:r>
      <w:r w:rsidR="00B829F8">
        <w:rPr>
          <w:rStyle w:val="normaltextrun"/>
          <w:rFonts w:eastAsiaTheme="majorEastAsia" w:cs="Arial"/>
        </w:rPr>
        <w:t>,</w:t>
      </w:r>
    </w:p>
    <w:p w14:paraId="2E335F57" w14:textId="686E0710" w:rsidR="001E12EF" w:rsidRPr="00B829F8" w:rsidRDefault="00DF6C6C" w:rsidP="00DF6C6C">
      <w:pPr>
        <w:pStyle w:val="Puce1"/>
        <w:rPr>
          <w:rStyle w:val="normaltextrun"/>
        </w:rPr>
      </w:pPr>
      <w:r w:rsidRPr="00B829F8">
        <w:rPr>
          <w:rStyle w:val="normaltextrun"/>
          <w:rFonts w:eastAsiaTheme="majorEastAsia" w:cs="Arial"/>
        </w:rPr>
        <w:t>E</w:t>
      </w:r>
      <w:r w:rsidR="001E12EF" w:rsidRPr="00B829F8">
        <w:rPr>
          <w:rStyle w:val="normaltextrun"/>
          <w:rFonts w:eastAsiaTheme="majorEastAsia" w:cs="Arial"/>
        </w:rPr>
        <w:t>n</w:t>
      </w:r>
      <w:r w:rsidRPr="00B829F8">
        <w:rPr>
          <w:rStyle w:val="normaltextrun"/>
          <w:rFonts w:eastAsiaTheme="majorEastAsia" w:cs="Arial"/>
        </w:rPr>
        <w:t xml:space="preserve"> </w:t>
      </w:r>
      <w:r w:rsidR="001E12EF" w:rsidRPr="00B829F8">
        <w:rPr>
          <w:rStyle w:val="normaltextrun"/>
          <w:rFonts w:eastAsiaTheme="majorEastAsia" w:cs="Arial"/>
        </w:rPr>
        <w:t xml:space="preserve">cohérence avec la </w:t>
      </w:r>
      <w:r w:rsidR="001E12EF" w:rsidRPr="00B829F8">
        <w:rPr>
          <w:rStyle w:val="findhit"/>
          <w:rFonts w:eastAsiaTheme="majorEastAsia" w:cs="Arial"/>
        </w:rPr>
        <w:t>charte</w:t>
      </w:r>
      <w:r w:rsidR="001E12EF" w:rsidRPr="00B829F8">
        <w:rPr>
          <w:rStyle w:val="normaltextrun"/>
          <w:rFonts w:eastAsiaTheme="majorEastAsia" w:cs="Arial"/>
        </w:rPr>
        <w:t xml:space="preserve"> d’investissement responsable du groupe Caisse des dépôts, actionnaire à 50 % de Bpifrance, et sa politique Climat.</w:t>
      </w:r>
    </w:p>
    <w:p w14:paraId="62CC58FE" w14:textId="77777777" w:rsidR="00DF6C6C" w:rsidRPr="00B829F8" w:rsidRDefault="00DF6C6C" w:rsidP="00DF6C6C"/>
    <w:p w14:paraId="5FBE5470" w14:textId="7F9B3C89" w:rsidR="001E12EF" w:rsidRPr="00B829F8" w:rsidRDefault="001E12EF" w:rsidP="00DF6C6C">
      <w:pPr>
        <w:rPr>
          <w:rStyle w:val="eop"/>
          <w:rFonts w:eastAsiaTheme="majorEastAsia" w:cs="Arial"/>
        </w:rPr>
      </w:pPr>
      <w:r w:rsidRPr="00B829F8">
        <w:rPr>
          <w:rStyle w:val="normaltextrun"/>
          <w:rFonts w:eastAsiaTheme="majorEastAsia" w:cs="Arial"/>
        </w:rPr>
        <w:t xml:space="preserve">En conformité avec le </w:t>
      </w:r>
      <w:r w:rsidR="00673208" w:rsidRPr="00247B14">
        <w:rPr>
          <w:rStyle w:val="normaltextrun"/>
          <w:rFonts w:eastAsiaTheme="majorEastAsia" w:cs="Arial"/>
          <w:i/>
          <w:iCs/>
        </w:rPr>
        <w:t>Sustainable Financial Disclosure Regulation</w:t>
      </w:r>
      <w:r w:rsidR="00673208">
        <w:rPr>
          <w:rStyle w:val="normaltextrun"/>
          <w:rFonts w:eastAsiaTheme="majorEastAsia" w:cs="Arial"/>
        </w:rPr>
        <w:t xml:space="preserve"> (SFDR ou « </w:t>
      </w:r>
      <w:r w:rsidRPr="00B829F8">
        <w:rPr>
          <w:rStyle w:val="normaltextrun"/>
          <w:rFonts w:eastAsiaTheme="majorEastAsia" w:cs="Arial"/>
        </w:rPr>
        <w:t xml:space="preserve">Règlement </w:t>
      </w:r>
      <w:r w:rsidRPr="004053B0">
        <w:rPr>
          <w:rStyle w:val="normaltextrun"/>
          <w:rFonts w:eastAsiaTheme="majorEastAsia" w:cs="Arial"/>
          <w:i/>
          <w:iCs/>
        </w:rPr>
        <w:t>Disclosure</w:t>
      </w:r>
      <w:r w:rsidR="00673208">
        <w:rPr>
          <w:rStyle w:val="normaltextrun"/>
          <w:rFonts w:eastAsiaTheme="majorEastAsia" w:cs="Arial"/>
        </w:rPr>
        <w:t> »)</w:t>
      </w:r>
      <w:r w:rsidRPr="00B829F8">
        <w:rPr>
          <w:rStyle w:val="normaltextrun"/>
          <w:rFonts w:eastAsiaTheme="majorEastAsia" w:cs="Arial"/>
        </w:rPr>
        <w:t>, Bpifrance Investissement a publié sa politique de durabilité qui décrit les modalités de prise en compte des risques en matière de durabilité lors du processus de décision en matière d’investissement.</w:t>
      </w:r>
    </w:p>
    <w:p w14:paraId="4FA393DE" w14:textId="77777777" w:rsidR="00DF6C6C" w:rsidRPr="00B829F8" w:rsidRDefault="00DF6C6C" w:rsidP="008E5BD5"/>
    <w:p w14:paraId="293FE4A5" w14:textId="33538C37" w:rsidR="00E9718C" w:rsidRDefault="00320DC0" w:rsidP="00306121">
      <w:pPr>
        <w:pStyle w:val="Titre1"/>
      </w:pPr>
      <w:bookmarkStart w:id="11" w:name="_Toc132901973"/>
      <w:bookmarkStart w:id="12" w:name="_Toc139042718"/>
      <w:r>
        <w:lastRenderedPageBreak/>
        <w:t>Moyens</w:t>
      </w:r>
      <w:r w:rsidR="00E9718C">
        <w:t xml:space="preserve"> deployes par </w:t>
      </w:r>
      <w:bookmarkEnd w:id="11"/>
      <w:r w:rsidR="001E64CD">
        <w:t>Bpifrance</w:t>
      </w:r>
      <w:r w:rsidR="00673208">
        <w:t xml:space="preserve"> </w:t>
      </w:r>
      <w:r w:rsidR="001E64CD">
        <w:t>I</w:t>
      </w:r>
      <w:r w:rsidR="00673208">
        <w:t>nvestissement</w:t>
      </w:r>
      <w:bookmarkEnd w:id="12"/>
    </w:p>
    <w:p w14:paraId="2D461B57" w14:textId="469AF816" w:rsidR="00FA50FA" w:rsidRDefault="00CA0644" w:rsidP="00FA50FA">
      <w:pPr>
        <w:pStyle w:val="Titre2"/>
      </w:pPr>
      <w:bookmarkStart w:id="13" w:name="_Toc139042719"/>
      <w:r>
        <w:t>R</w:t>
      </w:r>
      <w:r w:rsidR="00E9718C" w:rsidRPr="00054ACA">
        <w:t>essource</w:t>
      </w:r>
      <w:r w:rsidR="007006A0">
        <w:t>s</w:t>
      </w:r>
      <w:r w:rsidR="00FA50FA">
        <w:t xml:space="preserve"> </w:t>
      </w:r>
      <w:r w:rsidR="00E9718C" w:rsidRPr="00054ACA">
        <w:t>humaines</w:t>
      </w:r>
      <w:bookmarkEnd w:id="13"/>
      <w:r w:rsidR="00E9718C" w:rsidRPr="00054ACA">
        <w:t xml:space="preserve"> </w:t>
      </w:r>
    </w:p>
    <w:p w14:paraId="7F015E97" w14:textId="3F01C153" w:rsidR="007F6238" w:rsidRDefault="007F6238" w:rsidP="007F6238">
      <w:r>
        <w:t>Le groupe Bpifrance compte 3 521 salariés</w:t>
      </w:r>
      <w:r>
        <w:rPr>
          <w:rStyle w:val="Appelnotedebasdep"/>
        </w:rPr>
        <w:footnoteReference w:id="10"/>
      </w:r>
      <w:r>
        <w:t>, dont 638 au sein de Bpifrance Investissement. Ce dernier s’appuie pour les sujets ESG sur des ressources internes à la société de gestion et au sein du groupe Bpifrance. Ces ressources dédiées aux thématiques ESG et supportant les équipes investissements représentaient 1</w:t>
      </w:r>
      <w:r w:rsidR="00652757">
        <w:t>6</w:t>
      </w:r>
      <w:r>
        <w:t>,5 personnes à temps plein</w:t>
      </w:r>
      <w:r>
        <w:rPr>
          <w:rStyle w:val="Appelnotedebasdep"/>
        </w:rPr>
        <w:footnoteReference w:id="11"/>
      </w:r>
      <w:r>
        <w:t xml:space="preserve"> (équivalents temps plein ou « ETP ») au 31 décembre 2022.</w:t>
      </w:r>
    </w:p>
    <w:p w14:paraId="175BA9CF" w14:textId="77777777" w:rsidR="00AE439D" w:rsidRDefault="00AE439D" w:rsidP="007F6238"/>
    <w:p w14:paraId="15709558" w14:textId="1A1EC0C1" w:rsidR="00AE439D" w:rsidRDefault="00AE439D" w:rsidP="007F6238">
      <w:r>
        <w:t>Ces ressources</w:t>
      </w:r>
      <w:r w:rsidR="00AE182A">
        <w:t xml:space="preserve"> </w:t>
      </w:r>
      <w:r w:rsidR="003255E2">
        <w:t>ESG</w:t>
      </w:r>
      <w:r>
        <w:t xml:space="preserve"> se répartissent </w:t>
      </w:r>
      <w:r w:rsidR="003255E2">
        <w:t>au sein des équipes suivantes</w:t>
      </w:r>
      <w:r w:rsidR="00673208">
        <w:t> </w:t>
      </w:r>
      <w:r w:rsidR="003255E2">
        <w:t>:</w:t>
      </w:r>
    </w:p>
    <w:p w14:paraId="1B2D8FDA" w14:textId="6A46AF58" w:rsidR="003255E2" w:rsidRDefault="007C1918" w:rsidP="007C1918">
      <w:pPr>
        <w:pStyle w:val="Puce2"/>
      </w:pPr>
      <w:r>
        <w:t>L’é</w:t>
      </w:r>
      <w:r w:rsidR="008E0114">
        <w:t xml:space="preserve">quipe d’analyse ESG, composé de deux </w:t>
      </w:r>
      <w:r w:rsidR="00091A4A">
        <w:t xml:space="preserve">personnes travaillant en étroite collaboration avec les équipes d’investissements. </w:t>
      </w:r>
      <w:r w:rsidR="004B505B">
        <w:t>Elles</w:t>
      </w:r>
      <w:r w:rsidR="00091A4A">
        <w:t xml:space="preserve"> agissent comme</w:t>
      </w:r>
      <w:r>
        <w:t xml:space="preserve"> experts ESG</w:t>
      </w:r>
      <w:r w:rsidR="00250FE5">
        <w:t xml:space="preserve"> </w:t>
      </w:r>
      <w:r w:rsidR="002718CF">
        <w:t xml:space="preserve">et climat </w:t>
      </w:r>
      <w:r w:rsidR="00250FE5">
        <w:t>pour les analyse</w:t>
      </w:r>
      <w:r w:rsidR="002718CF">
        <w:t>s</w:t>
      </w:r>
      <w:r w:rsidR="00250FE5">
        <w:t xml:space="preserve"> extra-financière</w:t>
      </w:r>
      <w:r w:rsidR="002718CF">
        <w:t>s</w:t>
      </w:r>
      <w:r w:rsidR="00250FE5">
        <w:t xml:space="preserve"> pré- et post-investissements</w:t>
      </w:r>
      <w:r w:rsidR="00ED2BD9">
        <w:t>,</w:t>
      </w:r>
    </w:p>
    <w:p w14:paraId="7D5034E2" w14:textId="34C1BA7B" w:rsidR="00250FE5" w:rsidRDefault="00250FE5" w:rsidP="0048560A">
      <w:pPr>
        <w:pStyle w:val="Puce2"/>
      </w:pPr>
      <w:r>
        <w:t xml:space="preserve">La </w:t>
      </w:r>
      <w:r w:rsidRPr="00250FE5">
        <w:t xml:space="preserve">Direction du développement durable et de l’ESG, composée de </w:t>
      </w:r>
      <w:r w:rsidR="009C6D6B">
        <w:t>8</w:t>
      </w:r>
      <w:r w:rsidRPr="00250FE5">
        <w:t>,5 ETP</w:t>
      </w:r>
      <w:r w:rsidR="003D5662">
        <w:rPr>
          <w:rStyle w:val="Appelnotedebasdep"/>
        </w:rPr>
        <w:footnoteReference w:id="12"/>
      </w:r>
      <w:r w:rsidRPr="00250FE5">
        <w:t xml:space="preserve"> </w:t>
      </w:r>
      <w:r w:rsidR="00913DEB" w:rsidRPr="00250FE5">
        <w:t>a la charge</w:t>
      </w:r>
      <w:r w:rsidR="009C6D6B">
        <w:t xml:space="preserve"> du pilotage</w:t>
      </w:r>
      <w:r w:rsidRPr="00250FE5">
        <w:t xml:space="preserve"> et </w:t>
      </w:r>
      <w:r w:rsidR="006E6384">
        <w:t>de l’</w:t>
      </w:r>
      <w:r w:rsidRPr="00250FE5">
        <w:t>anim</w:t>
      </w:r>
      <w:r w:rsidR="006E6384">
        <w:t>ation de</w:t>
      </w:r>
      <w:r w:rsidRPr="00250FE5">
        <w:t xml:space="preserve"> la réflexion sur les actions à mettre en œuvre pour que Bpifrance exerce ses activités en organisme financier responsable</w:t>
      </w:r>
      <w:r w:rsidR="006E6384">
        <w:t xml:space="preserve"> dans</w:t>
      </w:r>
      <w:r w:rsidRPr="00250FE5">
        <w:t xml:space="preserve"> ses activités</w:t>
      </w:r>
      <w:r w:rsidR="006E6384">
        <w:t xml:space="preserve">. </w:t>
      </w:r>
      <w:r w:rsidR="001431A5">
        <w:t xml:space="preserve">Elle </w:t>
      </w:r>
      <w:r w:rsidRPr="00250FE5">
        <w:t>appui</w:t>
      </w:r>
      <w:r w:rsidR="001431A5">
        <w:t>e</w:t>
      </w:r>
      <w:r w:rsidRPr="00250FE5">
        <w:t xml:space="preserve"> </w:t>
      </w:r>
      <w:r w:rsidR="001431A5">
        <w:t>l</w:t>
      </w:r>
      <w:r w:rsidRPr="00250FE5">
        <w:t xml:space="preserve">es métiers et des fonctions support, facilite et accompagne les plans d’actions et leur mise en œuvre sur </w:t>
      </w:r>
      <w:r w:rsidR="00A21B68">
        <w:t>l</w:t>
      </w:r>
      <w:r w:rsidRPr="00250FE5">
        <w:t>es sujets</w:t>
      </w:r>
      <w:r w:rsidR="00A21B68">
        <w:t xml:space="preserve"> de durabilité</w:t>
      </w:r>
      <w:r w:rsidR="00ED2BD9">
        <w:t>,</w:t>
      </w:r>
    </w:p>
    <w:p w14:paraId="417208F6" w14:textId="26091526" w:rsidR="00A21B68" w:rsidRDefault="00A21B68" w:rsidP="0048560A">
      <w:pPr>
        <w:pStyle w:val="Puce2"/>
      </w:pPr>
      <w:r>
        <w:t xml:space="preserve">La Direction Climat, composée de </w:t>
      </w:r>
      <w:r w:rsidR="003D5662">
        <w:t>6 ETP</w:t>
      </w:r>
      <w:r w:rsidR="00913DEB" w:rsidRPr="00913DEB">
        <w:rPr>
          <w:vertAlign w:val="superscript"/>
        </w:rPr>
        <w:t>11</w:t>
      </w:r>
      <w:r w:rsidR="003D5662">
        <w:t xml:space="preserve"> </w:t>
      </w:r>
      <w:r w:rsidR="00CA21D0">
        <w:t xml:space="preserve">élabore et décline la </w:t>
      </w:r>
      <w:r w:rsidR="00C44FF0">
        <w:t xml:space="preserve">stratégie et feuille de route climatique (Plan Climat Bpifrance) </w:t>
      </w:r>
      <w:r w:rsidR="00943426">
        <w:t>à l’appui des</w:t>
      </w:r>
      <w:r w:rsidR="00C44FF0">
        <w:t xml:space="preserve"> métiers </w:t>
      </w:r>
      <w:r w:rsidR="00673208" w:rsidRPr="006113C1">
        <w:rPr>
          <w:i/>
          <w:iCs/>
        </w:rPr>
        <w:t>front</w:t>
      </w:r>
      <w:r w:rsidR="00ED2BD9">
        <w:t>.</w:t>
      </w:r>
    </w:p>
    <w:p w14:paraId="3AA54574" w14:textId="77777777" w:rsidR="00FA50FA" w:rsidRPr="00FA50FA" w:rsidRDefault="00FA50FA" w:rsidP="00FA50FA"/>
    <w:p w14:paraId="26BAD88C" w14:textId="6222AA9C" w:rsidR="009E1217" w:rsidRDefault="00505BBB" w:rsidP="00A2379D">
      <w:pPr>
        <w:pStyle w:val="Titre2"/>
      </w:pPr>
      <w:bookmarkStart w:id="14" w:name="_Toc139042720"/>
      <w:r>
        <w:t>R</w:t>
      </w:r>
      <w:r w:rsidR="007006A0">
        <w:t xml:space="preserve">essources </w:t>
      </w:r>
      <w:r w:rsidR="00E9718C" w:rsidRPr="00054ACA">
        <w:t>techniques</w:t>
      </w:r>
      <w:bookmarkEnd w:id="14"/>
      <w:r w:rsidR="00E9718C" w:rsidRPr="00054ACA">
        <w:t xml:space="preserve"> </w:t>
      </w:r>
    </w:p>
    <w:p w14:paraId="63733815" w14:textId="3AA103FC" w:rsidR="00634547" w:rsidRDefault="00634547" w:rsidP="00923010">
      <w:pPr>
        <w:pStyle w:val="Titre3"/>
        <w:spacing w:after="0"/>
      </w:pPr>
      <w:bookmarkStart w:id="15" w:name="_Toc139042721"/>
      <w:r w:rsidRPr="00E92035">
        <w:t>Ressources techniques dédiées à l’analyse ESG préinvestissement</w:t>
      </w:r>
      <w:bookmarkEnd w:id="15"/>
    </w:p>
    <w:p w14:paraId="3D77C9B0" w14:textId="77777777" w:rsidR="00634547" w:rsidRPr="001217E8" w:rsidRDefault="00634547" w:rsidP="0089095B">
      <w:pPr>
        <w:pStyle w:val="Figure"/>
        <w:spacing w:after="0"/>
        <w:jc w:val="left"/>
      </w:pPr>
      <w:r w:rsidRPr="001217E8">
        <w:t>Préalablement à l’investissement, des processus de diligences raisonnables en matière d’ESG sont en place. Ceux-ci visent un double objectif :</w:t>
      </w:r>
    </w:p>
    <w:p w14:paraId="3781454C" w14:textId="2D2013F1" w:rsidR="00634547" w:rsidRPr="00D35770" w:rsidRDefault="00634547" w:rsidP="0089095B">
      <w:pPr>
        <w:pStyle w:val="Puce1"/>
      </w:pPr>
      <w:r w:rsidRPr="00D35770">
        <w:t>Analyser les forces et les faiblesses de l’entreprise en ce qui concerne les défis associés au changement climatique, à la gouvernance et aux questions ESG les plus pertinentes du secteur</w:t>
      </w:r>
      <w:r w:rsidR="00ED2BD9">
        <w:t>,</w:t>
      </w:r>
    </w:p>
    <w:p w14:paraId="754C3EB6" w14:textId="0BCEB7FD" w:rsidR="00634547" w:rsidRPr="00D35770" w:rsidRDefault="00634547" w:rsidP="0089095B">
      <w:pPr>
        <w:pStyle w:val="Puce1"/>
      </w:pPr>
      <w:r w:rsidRPr="00D35770">
        <w:t xml:space="preserve">Identifier les domaines </w:t>
      </w:r>
      <w:r w:rsidR="007839F1">
        <w:t xml:space="preserve">sur lesquels l’entreprise et l’équipe d’investissement définissent et mettent en œuvre une démarche </w:t>
      </w:r>
      <w:r w:rsidRPr="00D35770">
        <w:t xml:space="preserve">d’amélioration </w:t>
      </w:r>
      <w:r w:rsidR="007839F1">
        <w:t xml:space="preserve">que </w:t>
      </w:r>
      <w:r w:rsidRPr="00D35770">
        <w:t>l’équipe d’investissement sui</w:t>
      </w:r>
      <w:r w:rsidR="007839F1">
        <w:t>t</w:t>
      </w:r>
      <w:r w:rsidRPr="00D35770">
        <w:t xml:space="preserve"> </w:t>
      </w:r>
      <w:r w:rsidR="007839F1">
        <w:t>au cours de la vie de la participation</w:t>
      </w:r>
      <w:r w:rsidRPr="00D35770">
        <w:t>.</w:t>
      </w:r>
    </w:p>
    <w:p w14:paraId="090EBE9C" w14:textId="77777777" w:rsidR="00634547" w:rsidRPr="00663199" w:rsidRDefault="00634547" w:rsidP="00634547">
      <w:pPr>
        <w:rPr>
          <w:rFonts w:asciiTheme="majorHAnsi" w:hAnsiTheme="majorHAnsi" w:cstheme="majorHAnsi"/>
        </w:rPr>
      </w:pPr>
    </w:p>
    <w:p w14:paraId="15B32F21" w14:textId="77777777" w:rsidR="00634547" w:rsidRPr="00663199" w:rsidRDefault="00634547" w:rsidP="0089095B">
      <w:pPr>
        <w:pStyle w:val="Puce2"/>
      </w:pPr>
      <w:r w:rsidRPr="00445BF6">
        <w:t>Capital Investissement</w:t>
      </w:r>
      <w:r w:rsidRPr="00663199">
        <w:t xml:space="preserve"> </w:t>
      </w:r>
    </w:p>
    <w:p w14:paraId="771FF418" w14:textId="2AAE369D" w:rsidR="00634547" w:rsidRPr="00663199" w:rsidRDefault="00634547" w:rsidP="00634547">
      <w:r w:rsidRPr="00663199">
        <w:t>L’outil interne d’aide à l’analyse ESG propose aux investisseurs, en fonction des effectifs et secteur d’activité de l’entreprise, les enjeux ESG hiérarchisés à examiner avec l’entreprise, puis, après collecte des données, évalue la prise en compte de ces enjeux, et permet de dégager des axes d’amélioration. Réalisée en interne, cette analyse peut être complétée, pour certains dossiers, par un audit plus complet, réalisé par un organisme externe.</w:t>
      </w:r>
    </w:p>
    <w:p w14:paraId="1FE4271F" w14:textId="77777777" w:rsidR="00634547" w:rsidRPr="00663199" w:rsidRDefault="00634547" w:rsidP="00634547"/>
    <w:p w14:paraId="0EBD810B" w14:textId="77777777" w:rsidR="00634547" w:rsidRPr="00663199" w:rsidRDefault="00634547" w:rsidP="0089095B">
      <w:pPr>
        <w:pStyle w:val="Puce2"/>
      </w:pPr>
      <w:r w:rsidRPr="00663199">
        <w:t xml:space="preserve">Investissement Grandes Entreprises </w:t>
      </w:r>
    </w:p>
    <w:p w14:paraId="170C3FFE" w14:textId="001336AE" w:rsidR="00634547" w:rsidRPr="00663199" w:rsidRDefault="00634547" w:rsidP="00634547">
      <w:r w:rsidRPr="00663199">
        <w:t>Outre l’outil interne d’aide à l’analyse ESG,</w:t>
      </w:r>
      <w:r>
        <w:t xml:space="preserve"> </w:t>
      </w:r>
      <w:r w:rsidRPr="00663199">
        <w:t>les équipes d’investissement peuvent s’appuyer sur les données non financières d’une agence de notation extra-financière, qui permettent une classification initiale du niveau de maturité ESG de l’entreprise</w:t>
      </w:r>
      <w:r>
        <w:t> </w:t>
      </w:r>
      <w:r w:rsidRPr="00663199">
        <w:t xml:space="preserve">; ces données non financières consistent en une note globale ainsi qu’une série de scores pour la performance </w:t>
      </w:r>
      <w:r>
        <w:t>ESG</w:t>
      </w:r>
      <w:r w:rsidRPr="00663199">
        <w:t xml:space="preserve"> à la fois en termes absolus et par rapport à d’autres entreprises du même secteur. L’équipe d’investissement possède donc une première évaluation des forces et des faiblesses de l’entreprise par rapport à l’existence des différents défis </w:t>
      </w:r>
      <w:r>
        <w:t>ESG</w:t>
      </w:r>
      <w:r w:rsidRPr="00663199">
        <w:t>.</w:t>
      </w:r>
    </w:p>
    <w:p w14:paraId="4BFFA134" w14:textId="77777777" w:rsidR="00634547" w:rsidRPr="00663199" w:rsidRDefault="00634547" w:rsidP="00634547"/>
    <w:p w14:paraId="28D82EFE" w14:textId="77777777" w:rsidR="00634547" w:rsidRPr="00663199" w:rsidRDefault="00634547" w:rsidP="005D21DC">
      <w:pPr>
        <w:pStyle w:val="Puce2"/>
        <w:keepNext/>
        <w:keepLines/>
        <w:ind w:left="714" w:hanging="357"/>
      </w:pPr>
      <w:r w:rsidRPr="00663199">
        <w:t xml:space="preserve">Fonds de fonds </w:t>
      </w:r>
    </w:p>
    <w:p w14:paraId="088F9DB8" w14:textId="3C125B66" w:rsidR="00634547" w:rsidRPr="00663199" w:rsidRDefault="007959DF" w:rsidP="00634547">
      <w:r>
        <w:t>. Lors des Due Diligences effectuées les investisseurs questionneront</w:t>
      </w:r>
      <w:r w:rsidR="00634547" w:rsidRPr="00663199">
        <w:t xml:space="preserve"> d’une </w:t>
      </w:r>
      <w:r w:rsidR="0076281F" w:rsidRPr="00663199">
        <w:t>part la</w:t>
      </w:r>
      <w:r w:rsidR="00634547" w:rsidRPr="00663199">
        <w:t xml:space="preserve"> société de gestion et sa propre politique de RSE en tant qu’entreprise, d’autre part la prise en compte des critères ESG dans son métier </w:t>
      </w:r>
      <w:r w:rsidR="00634547" w:rsidRPr="00663199">
        <w:lastRenderedPageBreak/>
        <w:t xml:space="preserve">d’investisseur. Ce </w:t>
      </w:r>
      <w:r>
        <w:t>dans l’</w:t>
      </w:r>
      <w:r w:rsidR="00634547" w:rsidRPr="00663199">
        <w:t>objectif d’évaluer d’une part l’intégration de la démarche d’investissement responsable de la société de gestion, notamment de la prise en compte des enjeux climatiques dans ses investissements</w:t>
      </w:r>
      <w:r w:rsidR="00634547">
        <w:t>,</w:t>
      </w:r>
      <w:r w:rsidR="00634547" w:rsidRPr="00663199">
        <w:t xml:space="preserve"> et d’autre part, le déploiement d’une démarche de responsabilité sociétale d’entreprise dans son fonctionnement, avec une attention particulière sur les questions d’égalité professionnelle et environnementales.</w:t>
      </w:r>
    </w:p>
    <w:p w14:paraId="55A47024" w14:textId="77777777" w:rsidR="00634547" w:rsidRPr="00663199" w:rsidRDefault="00634547" w:rsidP="00634547"/>
    <w:p w14:paraId="022E95CE" w14:textId="6C884B97" w:rsidR="00D4475B" w:rsidRDefault="00D4475B" w:rsidP="00D4475B">
      <w:pPr>
        <w:pStyle w:val="Titre3"/>
      </w:pPr>
      <w:bookmarkStart w:id="16" w:name="_Toc139042722"/>
      <w:r>
        <w:t>Ressources techniques dédiées au suivi des investissements</w:t>
      </w:r>
      <w:bookmarkEnd w:id="16"/>
    </w:p>
    <w:p w14:paraId="69B0DBF5" w14:textId="0B780667" w:rsidR="00EC0D45" w:rsidRDefault="00D4475B" w:rsidP="009E1217">
      <w:r>
        <w:t xml:space="preserve">Au-delà du dialogue actionnarial et des échanges avec le management des entités investies, </w:t>
      </w:r>
      <w:r w:rsidR="00936145">
        <w:t xml:space="preserve">un </w:t>
      </w:r>
      <w:r>
        <w:t>outil informatique de suivi des participations permet le suivi d’indicateurs ESG, des domaines d’amélioration identifiés lors de l’investissement. Par ailleurs, Bpifrance diligente annuellement une enquête auprès des entreprises de son portefeuille et auprès des gestionnaires des fonds investis. Les résultats de cette enquête sont analysés par la Direction du développement durable et de la RSE, puis présentés et discutés avec les équipes d’investissement. Le questionnaire de l’enquête porte sur tous les piliers de l’ESG, et intègre notamment des questions sur les impacts du changement climatique sur les activités des entreprises et des gestionnaires des fonds, et sur l’égalité professionnelle. Il est revu et enrichi chaque année dans le cadre d’un groupe de travail constitué sous l’impulsion de la commission ESG de France Invest</w:t>
      </w:r>
    </w:p>
    <w:p w14:paraId="2B05EF5E" w14:textId="6DFC5F0C" w:rsidR="000E038C" w:rsidRPr="000E038C" w:rsidRDefault="000E038C" w:rsidP="000E038C">
      <w:pPr>
        <w:rPr>
          <w:rFonts w:asciiTheme="majorHAnsi" w:hAnsiTheme="majorHAnsi" w:cstheme="majorHAnsi"/>
        </w:rPr>
      </w:pPr>
    </w:p>
    <w:p w14:paraId="23617DEB" w14:textId="5B5A5332" w:rsidR="00E9718C" w:rsidRPr="00054ACA" w:rsidRDefault="004B192C" w:rsidP="00306121">
      <w:pPr>
        <w:pStyle w:val="Titre2"/>
      </w:pPr>
      <w:bookmarkStart w:id="17" w:name="_Toc132901975"/>
      <w:bookmarkStart w:id="18" w:name="_Toc139042723"/>
      <w:r>
        <w:t>Ressources financières et r</w:t>
      </w:r>
      <w:r w:rsidR="00E9718C" w:rsidRPr="00054ACA">
        <w:t>enforcement des capacités internes</w:t>
      </w:r>
      <w:bookmarkEnd w:id="17"/>
      <w:bookmarkEnd w:id="18"/>
    </w:p>
    <w:p w14:paraId="27D3BB41" w14:textId="77777777" w:rsidR="004B192C" w:rsidRPr="00663199" w:rsidRDefault="004B192C" w:rsidP="004B192C">
      <w:r w:rsidRPr="00663199">
        <w:t>Le montant des ressources financières ne peut être communiqué, les ressources humaines et techniques, de réalisation des analyses ESG pré investissement, de due diligences approfondies, de suivi et dialogue actionnarial, ou d’évolution des outils ne faisant pas l’objet d’un suivi spécifique.</w:t>
      </w:r>
      <w:r>
        <w:t xml:space="preserve"> </w:t>
      </w:r>
    </w:p>
    <w:p w14:paraId="21798841" w14:textId="77777777" w:rsidR="004B192C" w:rsidRDefault="004B192C" w:rsidP="00B73062"/>
    <w:p w14:paraId="7E61AC0D" w14:textId="7EC3329C" w:rsidR="00483760" w:rsidRDefault="00483760" w:rsidP="00B73062">
      <w:r w:rsidRPr="00663199">
        <w:t>Des Guides RSE sont à la disposition des équipes investissement, ainsi que des guides pour répondre aux demandes des investisseurs sollicités par leurs participations sur des conseils pour mettre en œuvre leur démarche RSE.</w:t>
      </w:r>
    </w:p>
    <w:p w14:paraId="1B24FBC2" w14:textId="77777777" w:rsidR="0054536A" w:rsidRPr="00663199" w:rsidRDefault="0054536A" w:rsidP="00B73062"/>
    <w:p w14:paraId="041263FD" w14:textId="77777777" w:rsidR="00483760" w:rsidRDefault="00483760" w:rsidP="00B73062">
      <w:r w:rsidRPr="00663199">
        <w:t xml:space="preserve">Concernant les enjeux liés à </w:t>
      </w:r>
      <w:r w:rsidRPr="00270739">
        <w:t>l’évolution climatique</w:t>
      </w:r>
      <w:r w:rsidRPr="00663199">
        <w:t>, l’accompagnement et la formation des équipes et des collaborateurs ont été développés et renforcés, avec plus de 20 heures de modules en e-learning, renforcés par des webinaires animés par des experts internes et externes. Des formations spécifiques des investisseurs lors de séminaires dédié. Une sélection de formations dédiées aux enjeux environnementaux a par ailleurs été mise à disposition des collaborateurs sur la plateforme Coorpacademy.</w:t>
      </w:r>
    </w:p>
    <w:p w14:paraId="137D5211" w14:textId="77777777" w:rsidR="0054536A" w:rsidRPr="00663199" w:rsidRDefault="0054536A" w:rsidP="00B73062"/>
    <w:p w14:paraId="50929EBA" w14:textId="77777777" w:rsidR="00483760" w:rsidRPr="00663199" w:rsidRDefault="00483760" w:rsidP="00B73062">
      <w:r w:rsidRPr="00663199">
        <w:t xml:space="preserve">Des guides sectoriels ont été élaborés pour de nombreux secteurs, pour appréhender au mieux les problématiques liées au climat des entreprises, et présenter risques et enjeux de transition énergétique, opportunités et solutions. </w:t>
      </w:r>
    </w:p>
    <w:p w14:paraId="7F88A261" w14:textId="77777777" w:rsidR="008C43C3" w:rsidRDefault="00483760" w:rsidP="00B73062">
      <w:r w:rsidRPr="00663199">
        <w:t>Six « grands témoins du climat » experts scientifiques, personnalités politiques, militants, acteurs de la transition à tous niveaux, enfin, sont venus partager leurs visions et expertises en digital.</w:t>
      </w:r>
    </w:p>
    <w:p w14:paraId="112AA75B" w14:textId="77777777" w:rsidR="008C43C3" w:rsidRDefault="008C43C3" w:rsidP="00B73062"/>
    <w:p w14:paraId="446B04AE" w14:textId="0B9D56EE" w:rsidR="006A7C91" w:rsidRDefault="008C43C3" w:rsidP="00B73062">
      <w:r>
        <w:t xml:space="preserve">En 2022, 1 424 personnes au sein du groupe Bpifrance ont été formées aux enjeux du développement durable et des critères </w:t>
      </w:r>
      <w:r w:rsidRPr="006F2D00">
        <w:t>environnementaux, sociaux et de gouvernance</w:t>
      </w:r>
      <w:r>
        <w:t>. D’autres actions de renforcement des capacités internes ciblant plus particulièrement les métiers investissements</w:t>
      </w:r>
      <w:r w:rsidR="002E6B49">
        <w:t xml:space="preserve"> </w:t>
      </w:r>
      <w:r w:rsidR="00D821C5">
        <w:t>dont</w:t>
      </w:r>
      <w:r w:rsidR="006A7C91">
        <w:t> :</w:t>
      </w:r>
    </w:p>
    <w:p w14:paraId="7E521127" w14:textId="57BB12B8" w:rsidR="007A1424" w:rsidRPr="007A1424" w:rsidRDefault="007A1424" w:rsidP="006A7C91">
      <w:pPr>
        <w:pStyle w:val="Paragraphedeliste"/>
        <w:numPr>
          <w:ilvl w:val="0"/>
          <w:numId w:val="23"/>
        </w:numPr>
        <w:rPr>
          <w:rFonts w:ascii="Impact" w:eastAsiaTheme="majorEastAsia" w:hAnsi="Impact" w:cstheme="majorBidi"/>
          <w:bCs/>
          <w:caps/>
          <w:sz w:val="36"/>
          <w:szCs w:val="28"/>
        </w:rPr>
      </w:pPr>
      <w:r>
        <w:t>Formation sur la neutralité carbone pour les équipe</w:t>
      </w:r>
      <w:r w:rsidR="00D821C5">
        <w:t>s</w:t>
      </w:r>
      <w:r>
        <w:t xml:space="preserve"> France Investissement Régions</w:t>
      </w:r>
      <w:r w:rsidR="009971F9">
        <w:t>,</w:t>
      </w:r>
    </w:p>
    <w:p w14:paraId="3C2A1FB9" w14:textId="77777777" w:rsidR="009971F9" w:rsidRPr="009971F9" w:rsidRDefault="00C36D44" w:rsidP="006A7C91">
      <w:pPr>
        <w:pStyle w:val="Paragraphedeliste"/>
        <w:numPr>
          <w:ilvl w:val="0"/>
          <w:numId w:val="23"/>
        </w:numPr>
        <w:rPr>
          <w:rFonts w:ascii="Impact" w:eastAsiaTheme="majorEastAsia" w:hAnsi="Impact" w:cstheme="majorBidi"/>
          <w:bCs/>
          <w:caps/>
          <w:sz w:val="36"/>
          <w:szCs w:val="28"/>
        </w:rPr>
      </w:pPr>
      <w:r>
        <w:t>Formation sur le règlement Disclosure SFDR pour certaines équipe</w:t>
      </w:r>
      <w:r w:rsidR="009971F9">
        <w:t>s du Capital Développement,</w:t>
      </w:r>
    </w:p>
    <w:p w14:paraId="57EECAFE" w14:textId="37C07A36" w:rsidR="00EA6251" w:rsidRPr="00EA6251" w:rsidRDefault="00EA6251" w:rsidP="006A7C91">
      <w:pPr>
        <w:pStyle w:val="Paragraphedeliste"/>
        <w:numPr>
          <w:ilvl w:val="0"/>
          <w:numId w:val="23"/>
        </w:numPr>
        <w:rPr>
          <w:rFonts w:ascii="Impact" w:eastAsiaTheme="majorEastAsia" w:hAnsi="Impact" w:cstheme="majorBidi"/>
          <w:bCs/>
          <w:caps/>
          <w:sz w:val="36"/>
          <w:szCs w:val="28"/>
        </w:rPr>
      </w:pPr>
      <w:r>
        <w:t>Formation administrateurs sur la RSE</w:t>
      </w:r>
      <w:r w:rsidR="00D821C5">
        <w:t>,</w:t>
      </w:r>
    </w:p>
    <w:p w14:paraId="503B3751" w14:textId="175888F6" w:rsidR="00E9718C" w:rsidRPr="006A7C91" w:rsidRDefault="00EA6251" w:rsidP="006A7C91">
      <w:pPr>
        <w:pStyle w:val="Paragraphedeliste"/>
        <w:numPr>
          <w:ilvl w:val="0"/>
          <w:numId w:val="23"/>
        </w:numPr>
        <w:rPr>
          <w:rFonts w:ascii="Impact" w:eastAsiaTheme="majorEastAsia" w:hAnsi="Impact" w:cstheme="majorBidi"/>
          <w:bCs/>
          <w:caps/>
          <w:sz w:val="36"/>
          <w:szCs w:val="28"/>
        </w:rPr>
      </w:pPr>
      <w:r>
        <w:t>Plusieurs ateliers de fresques du climat</w:t>
      </w:r>
      <w:r w:rsidR="00D821C5">
        <w:t>.</w:t>
      </w:r>
      <w:r w:rsidR="00E9718C" w:rsidRPr="006A7C91">
        <w:rPr>
          <w:rFonts w:ascii="Impact" w:eastAsiaTheme="majorEastAsia" w:hAnsi="Impact" w:cstheme="majorBidi"/>
          <w:bCs/>
          <w:caps/>
          <w:sz w:val="36"/>
          <w:szCs w:val="28"/>
        </w:rPr>
        <w:br w:type="page"/>
      </w:r>
    </w:p>
    <w:p w14:paraId="48F6B141" w14:textId="79C8BBFA" w:rsidR="00E9718C" w:rsidRDefault="00697A2D" w:rsidP="00306121">
      <w:pPr>
        <w:pStyle w:val="Titre1"/>
      </w:pPr>
      <w:bookmarkStart w:id="19" w:name="_Toc132901976"/>
      <w:bookmarkStart w:id="20" w:name="_Toc139042724"/>
      <w:r>
        <w:lastRenderedPageBreak/>
        <w:t>P</w:t>
      </w:r>
      <w:r w:rsidR="00E9718C">
        <w:t xml:space="preserve">rise en compte des </w:t>
      </w:r>
      <w:r w:rsidR="001E64CD">
        <w:t>enjeux</w:t>
      </w:r>
      <w:r w:rsidR="00E9718C">
        <w:t xml:space="preserve"> </w:t>
      </w:r>
      <w:r w:rsidR="00DB65A9">
        <w:t>ESG</w:t>
      </w:r>
      <w:r w:rsidR="00E9718C">
        <w:t xml:space="preserve"> </w:t>
      </w:r>
      <w:bookmarkEnd w:id="19"/>
      <w:r w:rsidR="00DE63F4">
        <w:t>dans le fonctionnement de Bpifrance Investissement</w:t>
      </w:r>
      <w:bookmarkEnd w:id="20"/>
      <w:r w:rsidR="00E9718C">
        <w:t xml:space="preserve"> </w:t>
      </w:r>
    </w:p>
    <w:p w14:paraId="5E6BC93C" w14:textId="6D810491" w:rsidR="00AC189A" w:rsidRDefault="00AC189A" w:rsidP="005809E4">
      <w:r w:rsidRPr="00670EE3">
        <w:t xml:space="preserve">La gouvernance de Bpifrance Investissement repose sur un Conseil d’administration de </w:t>
      </w:r>
      <w:r w:rsidR="0044466C">
        <w:t>neuf</w:t>
      </w:r>
      <w:r w:rsidRPr="00670EE3">
        <w:t xml:space="preserve"> administrateurs</w:t>
      </w:r>
      <w:r w:rsidR="0089095B">
        <w:t> :</w:t>
      </w:r>
      <w:r>
        <w:t xml:space="preserve"> </w:t>
      </w:r>
      <w:r w:rsidRPr="00670EE3">
        <w:t xml:space="preserve">six représentant ses actionnaires indirects et </w:t>
      </w:r>
      <w:r w:rsidR="00D716A5">
        <w:t>trois</w:t>
      </w:r>
      <w:r w:rsidRPr="00670EE3">
        <w:t xml:space="preserve"> administrateurs indépendants.</w:t>
      </w:r>
      <w:r>
        <w:t xml:space="preserve"> </w:t>
      </w:r>
      <w:r w:rsidRPr="00663199">
        <w:t xml:space="preserve">La société </w:t>
      </w:r>
      <w:r>
        <w:t>de gestion e</w:t>
      </w:r>
      <w:r w:rsidRPr="00663199">
        <w:t xml:space="preserve">st par ailleurs dotée d’un </w:t>
      </w:r>
      <w:r>
        <w:t xml:space="preserve">commissaire du gouvernement et d’un </w:t>
      </w:r>
      <w:r w:rsidRPr="00663199">
        <w:t>comité des nominations et des rémunérations.</w:t>
      </w:r>
    </w:p>
    <w:p w14:paraId="0587D470" w14:textId="77777777" w:rsidR="005809E4" w:rsidRPr="00663199" w:rsidRDefault="005809E4" w:rsidP="005809E4"/>
    <w:p w14:paraId="265D9E72" w14:textId="5ACD3A70" w:rsidR="005809E4" w:rsidRDefault="00DE63F4" w:rsidP="005809E4">
      <w:r>
        <w:t xml:space="preserve">La prise des décisions de gestion de Bpifrance Investissement est le fait du </w:t>
      </w:r>
      <w:r w:rsidR="00AC189A">
        <w:t xml:space="preserve">comité exécutif </w:t>
      </w:r>
      <w:r>
        <w:t xml:space="preserve">(COMEX) </w:t>
      </w:r>
      <w:r w:rsidR="00AC189A">
        <w:t xml:space="preserve">Bpifrance, </w:t>
      </w:r>
      <w:r>
        <w:t>présidé par le DG de Bpifrance qui est aussi président de Bpifrance Investissement.</w:t>
      </w:r>
      <w:r w:rsidR="00AC189A">
        <w:t xml:space="preserve"> </w:t>
      </w:r>
      <w:r>
        <w:t xml:space="preserve">L’ensemble </w:t>
      </w:r>
      <w:r w:rsidR="00AC189A">
        <w:t>des métiers du groupe</w:t>
      </w:r>
      <w:r>
        <w:t xml:space="preserve"> sont représentés au COMEX, notamment les métiers </w:t>
      </w:r>
      <w:r w:rsidRPr="003537E4">
        <w:rPr>
          <w:i/>
          <w:iCs/>
        </w:rPr>
        <w:t>front</w:t>
      </w:r>
      <w:r>
        <w:t>.</w:t>
      </w:r>
      <w:r w:rsidR="00AC189A">
        <w:t xml:space="preserve"> </w:t>
      </w:r>
      <w:r>
        <w:t xml:space="preserve">A cela s’ajoute </w:t>
      </w:r>
      <w:r w:rsidR="00AC189A">
        <w:t>un Comité opérationnel (COMOP), qui réunit</w:t>
      </w:r>
      <w:r w:rsidR="00AC189A" w:rsidRPr="00FB191C">
        <w:t xml:space="preserve"> </w:t>
      </w:r>
      <w:r w:rsidR="00AC189A">
        <w:t>les responsables des activités d’investissement et de</w:t>
      </w:r>
      <w:r>
        <w:t>s fonctions transverses</w:t>
      </w:r>
      <w:r w:rsidR="00AC189A">
        <w:t xml:space="preserve"> sous la direction du Directeur Général Adjoint</w:t>
      </w:r>
      <w:r>
        <w:t xml:space="preserve"> de Bpifrance Investissement</w:t>
      </w:r>
      <w:r w:rsidR="00AC189A">
        <w:t>.</w:t>
      </w:r>
    </w:p>
    <w:p w14:paraId="35ACF40B" w14:textId="77777777" w:rsidR="00E9718C" w:rsidRDefault="00E9718C" w:rsidP="00855B12"/>
    <w:p w14:paraId="471B22DC" w14:textId="66E102B3" w:rsidR="00E9718C" w:rsidRPr="00054ACA" w:rsidRDefault="00E9718C" w:rsidP="00306121">
      <w:pPr>
        <w:pStyle w:val="Titre2"/>
      </w:pPr>
      <w:bookmarkStart w:id="21" w:name="_Toc132901977"/>
      <w:bookmarkStart w:id="22" w:name="_Toc139042725"/>
      <w:r w:rsidRPr="00054ACA">
        <w:t>Connaissances, compétences et expérience des instances de gouvernance</w:t>
      </w:r>
      <w:bookmarkEnd w:id="21"/>
      <w:bookmarkEnd w:id="22"/>
    </w:p>
    <w:p w14:paraId="0EE354E7" w14:textId="23EADC1D" w:rsidR="00E976E5" w:rsidRDefault="003053D3" w:rsidP="00E976E5">
      <w:r>
        <w:t xml:space="preserve">Les décisions clés en matière d’investissement/désinvestissement sont prises par les comités d’investissement internes à la société de gestion. </w:t>
      </w:r>
      <w:r w:rsidR="00E976E5">
        <w:t>Chaque fonds géré par Bpifrance Investissement dispose de son propre comité d</w:t>
      </w:r>
      <w:r>
        <w:t>’</w:t>
      </w:r>
      <w:r w:rsidR="00E976E5">
        <w:t>investissement, règlementairement présidé par un des sept dirigeants responsables de Bpifrance Investissement agréés par l’AMF</w:t>
      </w:r>
      <w:r>
        <w:t xml:space="preserve"> </w:t>
      </w:r>
      <w:r w:rsidR="00E976E5">
        <w:t>et dont les membres votants sont des collaborateurs de la société de gestion choisis pour leur expérience dans le domaine de l’investissement.</w:t>
      </w:r>
      <w:r>
        <w:t xml:space="preserve"> </w:t>
      </w:r>
      <w:r w:rsidR="00E976E5">
        <w:t>Pour les investissements réalisés sur fonds propres, les membres de Bpifrance, au travers de ces comités internes, ont un pouvoir de décision sur les tickets inférieurs à 50M€, soit la grande majorité des investissements</w:t>
      </w:r>
      <w:r>
        <w:t xml:space="preserve"> (au-delà de ce seuil, tout projet d’investissement, préalablement validé par un comité d’investissement de la société de gestion, est soumis aux instances de gouvernance de Bpifrance Participations et Bpifrance).</w:t>
      </w:r>
    </w:p>
    <w:p w14:paraId="040B0D68" w14:textId="33FBA84E" w:rsidR="00185ABE" w:rsidRDefault="00185ABE" w:rsidP="00E976E5"/>
    <w:p w14:paraId="5874819D" w14:textId="3174DCB2" w:rsidR="00185ABE" w:rsidRDefault="00185ABE" w:rsidP="00E976E5">
      <w:r>
        <w:t>Les décisions des comités d’investissement s’appuient notamment sur les analyses ESG conduites par les équipes d’investissement dans le cadre de l’instruction des projets.</w:t>
      </w:r>
    </w:p>
    <w:p w14:paraId="19BB2F35" w14:textId="77777777" w:rsidR="00970099" w:rsidRPr="00663199" w:rsidRDefault="00970099" w:rsidP="00970099"/>
    <w:p w14:paraId="3D0EC60B" w14:textId="77777777" w:rsidR="00970099" w:rsidRPr="00663199" w:rsidRDefault="00970099" w:rsidP="00970099">
      <w:r w:rsidRPr="00663199">
        <w:t>Bpifrance prend des participations minoritaires en recherchant systématiquement un siège dans les instances de gouvernance. Les administrateurs nommés par Bpifrance suivent une formation, aujourd’hui organisée en partenariat avec l’IFA (Institut Français des Administrateurs), qui comporte de nombreux modules dont un module RSE. Ce dernier est conçu pour que les administrateurs puissent aider le management de l’entreprise à intégrer les dimensions environnementales, sociales et sociétales dans son action et dans la gouvernance de l’entreprise. Sont principalement abordés, les sujets relatifs aux enjeux et à la stratégie RSE de Bpifrance, Bpifrance en tant qu’investisseur responsable et le rôle de l’administrateur au regard de ces sujets. Bpifrance Investissement sensibilise et accompagne le dirigeant, en vue d’une meilleure prise en compte par l’entreprise des enjeux de développement durable les plus pertinents pour celle-ci.</w:t>
      </w:r>
    </w:p>
    <w:p w14:paraId="77153C18" w14:textId="77777777" w:rsidR="00E9718C" w:rsidRPr="00AC189A" w:rsidRDefault="00E9718C" w:rsidP="00AC189A">
      <w:pPr>
        <w:spacing w:after="200" w:line="276" w:lineRule="auto"/>
        <w:rPr>
          <w:b/>
          <w:bCs/>
        </w:rPr>
      </w:pPr>
    </w:p>
    <w:p w14:paraId="48986459" w14:textId="77777777" w:rsidR="00613F03" w:rsidRDefault="00613F03" w:rsidP="00613F03">
      <w:pPr>
        <w:pStyle w:val="Titre2"/>
      </w:pPr>
      <w:bookmarkStart w:id="23" w:name="_Toc132901978"/>
      <w:bookmarkStart w:id="24" w:name="_Toc139042726"/>
      <w:r>
        <w:t xml:space="preserve">Politique de rémunération et intégration des critères </w:t>
      </w:r>
      <w:r w:rsidRPr="00054ACA">
        <w:t>des risques en matière de durabilité</w:t>
      </w:r>
      <w:bookmarkEnd w:id="24"/>
    </w:p>
    <w:p w14:paraId="6714C8A2" w14:textId="0F25EF83" w:rsidR="000F5CFE" w:rsidRPr="00375254" w:rsidRDefault="007A5812" w:rsidP="000F5CFE">
      <w:pPr>
        <w:rPr>
          <w:lang w:val="fr-CH"/>
        </w:rPr>
      </w:pPr>
      <w:bookmarkStart w:id="25" w:name="_Hlk137567277"/>
      <w:bookmarkEnd w:id="23"/>
      <w:r w:rsidRPr="007A5812">
        <w:t>Dans</w:t>
      </w:r>
      <w:r>
        <w:t xml:space="preserve"> </w:t>
      </w:r>
      <w:r w:rsidR="00157515">
        <w:t xml:space="preserve">sa politique de rémunération, </w:t>
      </w:r>
      <w:r w:rsidR="005F7BD8">
        <w:t xml:space="preserve">Bpifrance Investissement rappelle que dans </w:t>
      </w:r>
      <w:r w:rsidRPr="007A5812">
        <w:t>le cadre de la prise en compte des risques de durabilité</w:t>
      </w:r>
      <w:r w:rsidR="000F5CFE" w:rsidRPr="00375254">
        <w:t xml:space="preserve">, </w:t>
      </w:r>
      <w:r w:rsidR="000F5CFE">
        <w:t>et</w:t>
      </w:r>
      <w:r w:rsidR="000F5CFE" w:rsidRPr="00375254">
        <w:t xml:space="preserve"> tel que prévu par le Règlement Disclosure, les collaborateurs</w:t>
      </w:r>
      <w:r>
        <w:t xml:space="preserve"> de Bpifrance Investissement</w:t>
      </w:r>
      <w:r w:rsidR="000F5CFE" w:rsidRPr="00375254">
        <w:t xml:space="preserve"> doivent se conformer aux pratiques ESG de </w:t>
      </w:r>
      <w:r w:rsidR="004E0019">
        <w:t>la société de gestion</w:t>
      </w:r>
      <w:r w:rsidR="000F5CFE" w:rsidRPr="00375254">
        <w:t xml:space="preserve"> et suivre la stratégie, la politique d’investissement</w:t>
      </w:r>
      <w:r w:rsidR="00E239EF">
        <w:rPr>
          <w:rStyle w:val="Appelnotedebasdep"/>
        </w:rPr>
        <w:footnoteReference w:id="13"/>
      </w:r>
      <w:r w:rsidR="000F5CFE" w:rsidRPr="00375254">
        <w:t>, et les procédures et politiques de risques mises en place par la Société</w:t>
      </w:r>
      <w:r w:rsidR="000F5CFE">
        <w:t xml:space="preserve"> de gestion</w:t>
      </w:r>
      <w:r w:rsidR="000F5CFE" w:rsidRPr="00375254">
        <w:t>.</w:t>
      </w:r>
    </w:p>
    <w:p w14:paraId="6AF4F04E" w14:textId="5AED324E" w:rsidR="00935EF5" w:rsidRDefault="00D417CA" w:rsidP="00D417CA">
      <w:r w:rsidRPr="00D417CA">
        <w:t xml:space="preserve">Bpifrance Investissement </w:t>
      </w:r>
      <w:r w:rsidR="00BC4B10">
        <w:t xml:space="preserve">intègre </w:t>
      </w:r>
      <w:r w:rsidR="00EB12D3">
        <w:t xml:space="preserve">ainsi </w:t>
      </w:r>
      <w:r w:rsidR="00BC4B10">
        <w:t>dans le calcul de</w:t>
      </w:r>
      <w:r w:rsidRPr="00D417CA">
        <w:t xml:space="preserve"> la rémunération variable et sa répartition</w:t>
      </w:r>
      <w:r w:rsidR="00185ABE">
        <w:t xml:space="preserve"> de ses collaborateurs</w:t>
      </w:r>
      <w:r w:rsidR="002A56A9">
        <w:t>,</w:t>
      </w:r>
      <w:r w:rsidRPr="00D417CA">
        <w:t xml:space="preserve"> l’ensemble des risques (passés, présents et futurs), y compris les critères de risque </w:t>
      </w:r>
      <w:r w:rsidR="00412309">
        <w:t>en matière de durabilité</w:t>
      </w:r>
      <w:r w:rsidR="00CC4184">
        <w:t xml:space="preserve"> (environnementaux, sociaux et de gouvernance)</w:t>
      </w:r>
      <w:r w:rsidRPr="00D417CA">
        <w:t>.</w:t>
      </w:r>
      <w:r w:rsidR="00375254">
        <w:t xml:space="preserve"> </w:t>
      </w:r>
    </w:p>
    <w:bookmarkEnd w:id="25"/>
    <w:p w14:paraId="54360C25" w14:textId="77777777" w:rsidR="00E9718C" w:rsidRPr="000A42AB" w:rsidRDefault="00E9718C" w:rsidP="00E9718C">
      <w:pPr>
        <w:spacing w:after="120"/>
        <w:rPr>
          <w:b/>
          <w:bCs/>
        </w:rPr>
      </w:pPr>
    </w:p>
    <w:p w14:paraId="387CBA9D" w14:textId="79F14FC9" w:rsidR="00E9718C" w:rsidRPr="00054ACA" w:rsidRDefault="00E9718C" w:rsidP="00306121">
      <w:pPr>
        <w:pStyle w:val="Titre2"/>
      </w:pPr>
      <w:bookmarkStart w:id="26" w:name="_Toc132901979"/>
      <w:bookmarkStart w:id="27" w:name="_Toc139042727"/>
      <w:r w:rsidRPr="00054ACA">
        <w:t xml:space="preserve">Intégration des critères </w:t>
      </w:r>
      <w:r w:rsidR="00ED2AA0">
        <w:t>ESG</w:t>
      </w:r>
      <w:r w:rsidRPr="00054ACA">
        <w:t xml:space="preserve"> dans le règlement interne du conseil d'administration</w:t>
      </w:r>
      <w:bookmarkEnd w:id="27"/>
      <w:r w:rsidRPr="00054ACA">
        <w:t xml:space="preserve"> </w:t>
      </w:r>
      <w:bookmarkEnd w:id="26"/>
    </w:p>
    <w:p w14:paraId="0B1F364D" w14:textId="09856A8F" w:rsidR="00F13E7B" w:rsidRDefault="001D0F6F" w:rsidP="005C0F6F">
      <w:pPr>
        <w:spacing w:after="200" w:line="276" w:lineRule="auto"/>
        <w:jc w:val="left"/>
      </w:pPr>
      <w:r w:rsidRPr="004C7CC1">
        <w:t xml:space="preserve">Au sein de Bpifrance Investissement, </w:t>
      </w:r>
      <w:r w:rsidR="00BF030A" w:rsidRPr="004C7CC1">
        <w:t>le critère</w:t>
      </w:r>
      <w:r w:rsidRPr="004C7CC1">
        <w:t xml:space="preserve"> "Gouvernance" se manifeste par la constitution d'un Conseil d'Administration </w:t>
      </w:r>
      <w:r w:rsidR="00567704">
        <w:t xml:space="preserve">(CA) </w:t>
      </w:r>
      <w:r w:rsidRPr="004C7CC1">
        <w:t xml:space="preserve">composé de membres possédant une diversité d'expériences et de compétences, y compris dans les domaines ESG/RSE. </w:t>
      </w:r>
      <w:r w:rsidR="00567704">
        <w:t xml:space="preserve">Le CA est en outre </w:t>
      </w:r>
      <w:r w:rsidR="009C0702">
        <w:t>alimenté par u</w:t>
      </w:r>
      <w:r w:rsidR="00F13E7B">
        <w:t>n Comité C</w:t>
      </w:r>
      <w:r w:rsidR="007860A5">
        <w:t>l</w:t>
      </w:r>
      <w:r w:rsidR="00F13E7B">
        <w:t>imat</w:t>
      </w:r>
      <w:r w:rsidR="007860A5">
        <w:t xml:space="preserve"> </w:t>
      </w:r>
      <w:r w:rsidR="00B04AC1">
        <w:t xml:space="preserve">qui </w:t>
      </w:r>
      <w:r w:rsidR="007860A5">
        <w:t>est</w:t>
      </w:r>
      <w:r w:rsidR="005C0F6F">
        <w:t xml:space="preserve"> spécifiquement chargé de formuler des avis sur i) les orientations stratégiques, ii) la doctrine d'intervention, iii) les modalités d'exercice par Bpifrance de ses missions d'intérêt général et iv) la mise en œuvre de la transition écologique et énergétique.</w:t>
      </w:r>
    </w:p>
    <w:p w14:paraId="02094FC3" w14:textId="4557EB4D" w:rsidR="007C31BF" w:rsidRDefault="007C31BF" w:rsidP="007C31BF">
      <w:pPr>
        <w:pStyle w:val="Titre2"/>
      </w:pPr>
      <w:bookmarkStart w:id="28" w:name="_Toc139042728"/>
      <w:r>
        <w:t>Objectif de représentation équilibrée des femmes et des hommes (Loi Rixain)</w:t>
      </w:r>
      <w:bookmarkEnd w:id="28"/>
    </w:p>
    <w:p w14:paraId="2AEB52A7" w14:textId="07F98CD7" w:rsidR="00B74BE6" w:rsidRDefault="00B74BE6" w:rsidP="00B74BE6">
      <w:r w:rsidRPr="00B74BE6">
        <w:t>La promotion de l’entrepreneuriat féminin est l’une des priorités de la charte RSE d</w:t>
      </w:r>
      <w:r w:rsidR="004646A5">
        <w:t>u groupe</w:t>
      </w:r>
      <w:r w:rsidRPr="00B74BE6">
        <w:t xml:space="preserve"> Bpifrance, qui porte depuis sa création une doctrine d’intervention et une action forte. </w:t>
      </w:r>
      <w:r w:rsidR="00987D94">
        <w:t>C</w:t>
      </w:r>
      <w:r w:rsidR="00914D9A">
        <w:t xml:space="preserve">et objectif est </w:t>
      </w:r>
      <w:r w:rsidR="00496B41">
        <w:t xml:space="preserve">également celui de Bpifrance Investissement, </w:t>
      </w:r>
      <w:r w:rsidR="00CB029C">
        <w:t>et fait partie de sa doctrine d’investissement responsable</w:t>
      </w:r>
      <w:r w:rsidR="00C90945">
        <w:t xml:space="preserve"> (voir </w:t>
      </w:r>
      <w:r w:rsidR="00F3237A">
        <w:t xml:space="preserve">également </w:t>
      </w:r>
      <w:r w:rsidR="00B128F6">
        <w:fldChar w:fldCharType="begin"/>
      </w:r>
      <w:r w:rsidR="00B128F6">
        <w:instrText xml:space="preserve"> REF _Ref137484218 \h </w:instrText>
      </w:r>
      <w:r w:rsidR="00B128F6">
        <w:fldChar w:fldCharType="separate"/>
      </w:r>
      <w:r w:rsidR="00B128F6">
        <w:rPr>
          <w:caps/>
        </w:rPr>
        <w:t>S</w:t>
      </w:r>
      <w:r w:rsidR="00B128F6">
        <w:t>tratégie d’engagement</w:t>
      </w:r>
      <w:r w:rsidR="00B128F6">
        <w:fldChar w:fldCharType="end"/>
      </w:r>
      <w:r w:rsidR="00C90945">
        <w:t>).</w:t>
      </w:r>
      <w:r w:rsidR="0010329C">
        <w:t xml:space="preserve"> </w:t>
      </w:r>
      <w:r w:rsidR="0010329C" w:rsidRPr="0010329C">
        <w:t xml:space="preserve">Des accords collectifs sont conclus en ce sens afin de corriger les éventuels écarts, promouvoir la mixité des équipes et des parcours professionnels. Un index égalité femme/homme est notamment publié annuellement sur le site Bpifrance </w:t>
      </w:r>
      <w:r w:rsidR="0087599C">
        <w:t>avec un score de</w:t>
      </w:r>
      <w:r w:rsidR="0010329C" w:rsidRPr="0010329C">
        <w:t xml:space="preserve"> 89 points/100 pour Bpifrance Investissement. La mixité au sein des instances dirigeantes fait également partie des engagements de Bpifrance (</w:t>
      </w:r>
      <w:r w:rsidR="00435570">
        <w:t xml:space="preserve">loi </w:t>
      </w:r>
      <w:r w:rsidR="0010329C" w:rsidRPr="0010329C">
        <w:t>Rixain) qui compte, en 202</w:t>
      </w:r>
      <w:r w:rsidR="00435570">
        <w:t>2</w:t>
      </w:r>
      <w:r w:rsidR="0010329C" w:rsidRPr="0010329C">
        <w:t>, 3</w:t>
      </w:r>
      <w:r w:rsidR="00457EBC">
        <w:t>3</w:t>
      </w:r>
      <w:r w:rsidR="0010329C" w:rsidRPr="0010329C">
        <w:t>% de femmes au sein du CMG.</w:t>
      </w:r>
      <w:r w:rsidR="002B4667">
        <w:t xml:space="preserve"> Les </w:t>
      </w:r>
      <w:r w:rsidR="000334BE">
        <w:t xml:space="preserve">effectifs féminins cadres </w:t>
      </w:r>
      <w:r w:rsidR="005E0BC3">
        <w:t>représentent</w:t>
      </w:r>
      <w:r w:rsidR="000334BE">
        <w:t xml:space="preserve"> 51,1% de l’effectif total.</w:t>
      </w:r>
    </w:p>
    <w:p w14:paraId="483C3FC5" w14:textId="77777777" w:rsidR="00433C52" w:rsidRDefault="00433C52" w:rsidP="008E7D5D"/>
    <w:p w14:paraId="75B730E8" w14:textId="71D44EBF" w:rsidR="001518F6" w:rsidRDefault="001518F6" w:rsidP="00EB10AB">
      <w:r w:rsidRPr="00EB10AB">
        <w:rPr>
          <w:rStyle w:val="lev"/>
        </w:rPr>
        <w:t>La part des femmes dans les comités d’investissement est de 30,4%</w:t>
      </w:r>
      <w:r w:rsidRPr="00BD336B">
        <w:t xml:space="preserve"> au 31/12/2022. </w:t>
      </w:r>
      <w:r w:rsidR="00135D0F">
        <w:t xml:space="preserve">Un chiffre </w:t>
      </w:r>
      <w:r w:rsidR="007952EB">
        <w:t xml:space="preserve">à mettre en regard de la moyenne </w:t>
      </w:r>
      <w:r w:rsidR="00B1659C">
        <w:t>des sociétés de gestion</w:t>
      </w:r>
      <w:r w:rsidR="007952EB">
        <w:t xml:space="preserve">, évaluée à 22% selon le </w:t>
      </w:r>
      <w:r w:rsidR="00601918">
        <w:t xml:space="preserve">dernier </w:t>
      </w:r>
      <w:r w:rsidR="007952EB">
        <w:t xml:space="preserve">Baromètre </w:t>
      </w:r>
      <w:r w:rsidR="005474A1">
        <w:t>France Invest-Deloitte</w:t>
      </w:r>
      <w:r w:rsidR="005474A1">
        <w:rPr>
          <w:rStyle w:val="Appelnotedebasdep"/>
        </w:rPr>
        <w:footnoteReference w:id="14"/>
      </w:r>
      <w:r w:rsidR="005474A1">
        <w:t>.</w:t>
      </w:r>
      <w:r w:rsidR="007C6145">
        <w:t xml:space="preserve"> Cette </w:t>
      </w:r>
      <w:r w:rsidR="005C4BEC">
        <w:t>mesure est importante</w:t>
      </w:r>
      <w:r w:rsidR="00D93833">
        <w:t xml:space="preserve"> </w:t>
      </w:r>
      <w:r w:rsidR="005C4BEC">
        <w:t>et révélatrice des efforts engagés par Bpifrance Investissement envers la parité</w:t>
      </w:r>
      <w:r w:rsidR="00D806E5">
        <w:t>. Le rôle des comités d’investissement es</w:t>
      </w:r>
      <w:r w:rsidR="00F27FF0">
        <w:t xml:space="preserve">t </w:t>
      </w:r>
      <w:r w:rsidR="00DB79DF">
        <w:t>primordial</w:t>
      </w:r>
      <w:r w:rsidR="0044278C">
        <w:t xml:space="preserve"> puisqu’ils sont parmi les principales instances de gouvernance opérationnelle de la Société de gestion</w:t>
      </w:r>
      <w:r w:rsidR="00DB79DF">
        <w:t>, où se prennent les décisions</w:t>
      </w:r>
      <w:r w:rsidR="00DF1626">
        <w:t xml:space="preserve"> clés.</w:t>
      </w:r>
    </w:p>
    <w:p w14:paraId="0291EBCA" w14:textId="77777777" w:rsidR="00EB10AB" w:rsidRDefault="00EB10AB" w:rsidP="00263D81"/>
    <w:p w14:paraId="1E68EFE5" w14:textId="77777777" w:rsidR="00C2410B" w:rsidRDefault="00C2410B" w:rsidP="00263D81">
      <w:r>
        <w:t>Au-delà de ses propres instances de gouvernance, Bpifrance Investissement mesure la part des femmes dans les équipes fondatrices/dirigeantes des entreprises qu’elle finance :</w:t>
      </w:r>
    </w:p>
    <w:p w14:paraId="6C434DE0" w14:textId="73011C23" w:rsidR="00C2410B" w:rsidRDefault="00C2410B" w:rsidP="00C2410B">
      <w:pPr>
        <w:pStyle w:val="Paragraphedeliste"/>
        <w:numPr>
          <w:ilvl w:val="0"/>
          <w:numId w:val="19"/>
        </w:numPr>
      </w:pPr>
      <w:r>
        <w:t>Au moment de la décision d’ouverture d’instruction d’un projet d’investissement</w:t>
      </w:r>
    </w:p>
    <w:p w14:paraId="45ABCAAD" w14:textId="35CC39AD" w:rsidR="00C2410B" w:rsidRDefault="00C2410B" w:rsidP="00C2410B">
      <w:pPr>
        <w:pStyle w:val="Paragraphedeliste"/>
        <w:numPr>
          <w:ilvl w:val="0"/>
          <w:numId w:val="19"/>
        </w:numPr>
      </w:pPr>
      <w:r>
        <w:t>Sur le portefeuille de participations directes</w:t>
      </w:r>
      <w:r w:rsidR="005657D9">
        <w:t> :</w:t>
      </w:r>
    </w:p>
    <w:p w14:paraId="35970F3B" w14:textId="24E9F6F8" w:rsidR="00ED2AA0" w:rsidRDefault="00C2410B" w:rsidP="00406F34">
      <w:pPr>
        <w:ind w:left="708"/>
      </w:pPr>
      <w:r>
        <w:t>Ainsi, e</w:t>
      </w:r>
      <w:r w:rsidR="00D83F77" w:rsidRPr="00D83F77">
        <w:t xml:space="preserve">n 2022, les demandes d’investissement étudiées révèlent que </w:t>
      </w:r>
      <w:r w:rsidR="00D83F77" w:rsidRPr="00D83F77">
        <w:rPr>
          <w:b/>
          <w:bCs/>
        </w:rPr>
        <w:t xml:space="preserve">plus de 57% des entreprises ont une équipe mixte </w:t>
      </w:r>
      <w:r w:rsidR="00D83F77" w:rsidRPr="00D83F77">
        <w:t xml:space="preserve">(i.e. comptant au moins une femme) et </w:t>
      </w:r>
      <w:r w:rsidR="00D83F77" w:rsidRPr="00D83F77">
        <w:rPr>
          <w:b/>
          <w:bCs/>
        </w:rPr>
        <w:t>2% ont une équipe dirigeante 100% féminine</w:t>
      </w:r>
      <w:r w:rsidR="00D83F77" w:rsidRPr="00D83F77">
        <w:t xml:space="preserve">. Concernant ces mêmes entreprises, les femmes représentent environ </w:t>
      </w:r>
      <w:r w:rsidR="00D83F77" w:rsidRPr="00D83F77">
        <w:rPr>
          <w:b/>
          <w:bCs/>
        </w:rPr>
        <w:t xml:space="preserve">22% du total des effectifs des équipes de direction. </w:t>
      </w:r>
      <w:r w:rsidR="00D83F77" w:rsidRPr="00D83F77">
        <w:t>Ces chiffres sont en légère progression par rapport à 2021, année qui ne comptait aucune entreprise dirigée par une équipe 100% féminine.</w:t>
      </w:r>
    </w:p>
    <w:p w14:paraId="40E781CF" w14:textId="3CB28181" w:rsidR="00BD336B" w:rsidRPr="00BD336B" w:rsidRDefault="00C2410B" w:rsidP="00B9507A">
      <w:pPr>
        <w:ind w:left="708"/>
        <w:rPr>
          <w:color w:val="000000"/>
        </w:rPr>
      </w:pPr>
      <w:r>
        <w:t xml:space="preserve">De même, une </w:t>
      </w:r>
      <w:r w:rsidR="00BD336B" w:rsidRPr="00BD336B">
        <w:t xml:space="preserve">analyse </w:t>
      </w:r>
      <w:r>
        <w:t xml:space="preserve">portant sur </w:t>
      </w:r>
      <w:r w:rsidR="00BD336B" w:rsidRPr="00BD336B">
        <w:t>plus de 1</w:t>
      </w:r>
      <w:r w:rsidR="00485DEC">
        <w:t> </w:t>
      </w:r>
      <w:r w:rsidR="00BD336B" w:rsidRPr="00BD336B">
        <w:t>000</w:t>
      </w:r>
      <w:r w:rsidR="00485DEC">
        <w:t> </w:t>
      </w:r>
      <w:r w:rsidR="00BD336B" w:rsidRPr="00BD336B">
        <w:t>participations directes</w:t>
      </w:r>
      <w:r>
        <w:t xml:space="preserve"> du portefeuille de participations directes de Bpifrance montre que </w:t>
      </w:r>
      <w:r w:rsidR="00BD336B" w:rsidRPr="00BD336B">
        <w:rPr>
          <w:b/>
          <w:bCs/>
        </w:rPr>
        <w:t xml:space="preserve">14% </w:t>
      </w:r>
      <w:r w:rsidR="00BD336B" w:rsidRPr="00BD336B">
        <w:t xml:space="preserve">des participations ayant des mandataires </w:t>
      </w:r>
      <w:r w:rsidR="00BD336B" w:rsidRPr="00BD336B">
        <w:rPr>
          <w:b/>
          <w:bCs/>
        </w:rPr>
        <w:t>sociaux personnes physiques</w:t>
      </w:r>
      <w:r w:rsidR="00BD336B" w:rsidRPr="00BD336B">
        <w:t xml:space="preserve"> ont au moins une femme représentante légale</w:t>
      </w:r>
      <w:r w:rsidR="00BD336B" w:rsidRPr="00BD336B">
        <w:rPr>
          <w:b/>
          <w:bCs/>
        </w:rPr>
        <w:t xml:space="preserve">. </w:t>
      </w:r>
    </w:p>
    <w:p w14:paraId="0C6BB5E6" w14:textId="77777777" w:rsidR="00BD336B" w:rsidRDefault="00BD336B" w:rsidP="00B9507A">
      <w:pPr>
        <w:ind w:left="708"/>
        <w:rPr>
          <w:b/>
          <w:bCs/>
        </w:rPr>
      </w:pPr>
      <w:r w:rsidRPr="00BD336B">
        <w:t xml:space="preserve">Au sein du portefeuille suivi par la direction </w:t>
      </w:r>
      <w:r w:rsidRPr="00BD336B">
        <w:rPr>
          <w:b/>
          <w:bCs/>
        </w:rPr>
        <w:t xml:space="preserve">Capital Innovation, </w:t>
      </w:r>
      <w:r w:rsidRPr="00BD336B">
        <w:t xml:space="preserve">essentiellement des start-ups et scale-ups françaises positionnées sur des secteurs d’avenir, en particulier dans les biotechnologies, les écotechnologies, le numérique et les industries créatives, cette proportion </w:t>
      </w:r>
      <w:r w:rsidRPr="00BD336B">
        <w:rPr>
          <w:b/>
          <w:bCs/>
        </w:rPr>
        <w:t xml:space="preserve">atteint 17%. </w:t>
      </w:r>
    </w:p>
    <w:p w14:paraId="1B2DE7E9" w14:textId="0E39CBF7" w:rsidR="00BD336B" w:rsidRPr="00BD336B" w:rsidRDefault="00F5080F" w:rsidP="00F07E1A">
      <w:pPr>
        <w:pStyle w:val="Puce2"/>
        <w:keepNext/>
        <w:numPr>
          <w:ilvl w:val="1"/>
          <w:numId w:val="20"/>
        </w:numPr>
        <w:ind w:left="714" w:hanging="357"/>
      </w:pPr>
      <w:r>
        <w:t>Sur le portefeuille d’i</w:t>
      </w:r>
      <w:r w:rsidR="00BD336B" w:rsidRPr="00BD336B">
        <w:t xml:space="preserve">nvestissement indirect : </w:t>
      </w:r>
    </w:p>
    <w:p w14:paraId="4B26A7B1" w14:textId="25C6F490" w:rsidR="00BD336B" w:rsidRPr="00BD336B" w:rsidRDefault="00BD336B" w:rsidP="00F07E1A">
      <w:pPr>
        <w:ind w:left="709"/>
        <w:rPr>
          <w:color w:val="000000"/>
        </w:rPr>
      </w:pPr>
      <w:r w:rsidRPr="00BD336B">
        <w:t>L’équipe d'investissement indirect, Fonds de Fonds de Bpifrance gère 17</w:t>
      </w:r>
      <w:r w:rsidR="00485DEC">
        <w:t> </w:t>
      </w:r>
      <w:r w:rsidRPr="00BD336B">
        <w:t>Md€ d’actif sous gestion représentant 12</w:t>
      </w:r>
      <w:r w:rsidR="00485DEC">
        <w:t> </w:t>
      </w:r>
      <w:r w:rsidRPr="00BD336B">
        <w:t>Md€ souscrits au travers de 580</w:t>
      </w:r>
      <w:r w:rsidR="00485DEC">
        <w:t> </w:t>
      </w:r>
      <w:r w:rsidRPr="00BD336B">
        <w:t xml:space="preserve">fonds partenaires, dont près de la moitié sont en période d’investissement. </w:t>
      </w:r>
    </w:p>
    <w:p w14:paraId="24FC072C" w14:textId="26DE1AE6" w:rsidR="00BD336B" w:rsidRPr="00BD336B" w:rsidRDefault="00BD336B" w:rsidP="00F07E1A">
      <w:pPr>
        <w:ind w:left="709"/>
        <w:rPr>
          <w:color w:val="000000"/>
        </w:rPr>
      </w:pPr>
      <w:r w:rsidRPr="00BD336B">
        <w:t>En 2022, 1,6</w:t>
      </w:r>
      <w:r w:rsidR="00485DEC">
        <w:t> </w:t>
      </w:r>
      <w:r w:rsidRPr="00BD336B">
        <w:t>Md€ ont été investi dans 70</w:t>
      </w:r>
      <w:r w:rsidR="00485DEC">
        <w:t> </w:t>
      </w:r>
      <w:r w:rsidRPr="00BD336B">
        <w:t xml:space="preserve">nouveaux fonds partenaires. </w:t>
      </w:r>
    </w:p>
    <w:p w14:paraId="6C80C328" w14:textId="77777777" w:rsidR="00F07E1A" w:rsidRDefault="00BD336B" w:rsidP="00F07E1A">
      <w:pPr>
        <w:ind w:left="709"/>
      </w:pPr>
      <w:r w:rsidRPr="00BD336B">
        <w:t xml:space="preserve">La collecte </w:t>
      </w:r>
      <w:r w:rsidRPr="00BD336B">
        <w:rPr>
          <w:b/>
          <w:bCs/>
        </w:rPr>
        <w:t xml:space="preserve">des données relatives à la mixité </w:t>
      </w:r>
      <w:r w:rsidRPr="00BD336B">
        <w:t xml:space="preserve">de 2022 porte sur les indicateurs à fin 2021 </w:t>
      </w:r>
      <w:r w:rsidRPr="00BD336B">
        <w:rPr>
          <w:b/>
          <w:bCs/>
        </w:rPr>
        <w:t xml:space="preserve">auprès de ses partenaires </w:t>
      </w:r>
      <w:r w:rsidRPr="00BD336B">
        <w:t xml:space="preserve">(au niveau des sociétés de gestion, et des investissements réalisés par les fonds en période d’investissement). Il ressort de cette première analyse que : </w:t>
      </w:r>
    </w:p>
    <w:p w14:paraId="233AF3F0" w14:textId="68F4D0D3" w:rsidR="00BD336B" w:rsidRPr="009B7B11" w:rsidRDefault="00BD336B" w:rsidP="009B7B11">
      <w:pPr>
        <w:pStyle w:val="Paragraphedeliste"/>
        <w:numPr>
          <w:ilvl w:val="2"/>
          <w:numId w:val="22"/>
        </w:numPr>
        <w:ind w:left="1134"/>
        <w:rPr>
          <w:color w:val="000000"/>
        </w:rPr>
      </w:pPr>
      <w:r w:rsidRPr="009B7B11">
        <w:rPr>
          <w:b/>
          <w:bCs/>
        </w:rPr>
        <w:lastRenderedPageBreak/>
        <w:t>Les équipes de gestion partenaires sont féminisées à hauteur de 38%</w:t>
      </w:r>
      <w:r w:rsidRPr="00BD336B">
        <w:t xml:space="preserve">, dont 27% en </w:t>
      </w:r>
      <w:r w:rsidRPr="009B7B11">
        <w:rPr>
          <w:i/>
          <w:iCs/>
        </w:rPr>
        <w:t>Front Office</w:t>
      </w:r>
      <w:r w:rsidRPr="00BD336B">
        <w:t xml:space="preserve">. La mixité au sein des équipes d’investisseurs </w:t>
      </w:r>
      <w:r w:rsidR="003E1664">
        <w:t>se diffuse</w:t>
      </w:r>
      <w:r w:rsidR="00C0550F">
        <w:t xml:space="preserve"> également</w:t>
      </w:r>
      <w:r w:rsidRPr="00BD336B">
        <w:t xml:space="preserve"> par la base : 38% des chargés d’affaires et analystes sont des femmes</w:t>
      </w:r>
      <w:r w:rsidR="00485DEC">
        <w:t>,</w:t>
      </w:r>
    </w:p>
    <w:p w14:paraId="27ACF88F" w14:textId="369C691B" w:rsidR="00BD336B" w:rsidRPr="00BD336B" w:rsidRDefault="00BD336B" w:rsidP="009B7B11">
      <w:pPr>
        <w:pStyle w:val="Puce3"/>
        <w:numPr>
          <w:ilvl w:val="2"/>
          <w:numId w:val="22"/>
        </w:numPr>
        <w:ind w:left="1134"/>
        <w:rPr>
          <w:color w:val="000000"/>
        </w:rPr>
      </w:pPr>
      <w:r w:rsidRPr="00BD336B">
        <w:t xml:space="preserve">Sur plus de 1 300 sociétés </w:t>
      </w:r>
      <w:r w:rsidR="00C2410B">
        <w:t>du</w:t>
      </w:r>
      <w:r w:rsidR="00C2410B" w:rsidRPr="00BD336B">
        <w:t xml:space="preserve"> </w:t>
      </w:r>
      <w:r w:rsidRPr="00BD336B">
        <w:t xml:space="preserve">portefeuille indirect, les femmes représentent </w:t>
      </w:r>
      <w:r w:rsidRPr="00BD336B">
        <w:rPr>
          <w:b/>
          <w:bCs/>
        </w:rPr>
        <w:t>43% des effectifs</w:t>
      </w:r>
      <w:r w:rsidRPr="00BD336B">
        <w:t xml:space="preserve">, dont </w:t>
      </w:r>
      <w:r w:rsidRPr="00BD336B">
        <w:rPr>
          <w:b/>
          <w:bCs/>
        </w:rPr>
        <w:t xml:space="preserve">21% dans les équipes dirigeantes </w:t>
      </w:r>
      <w:r w:rsidRPr="00BD336B">
        <w:t xml:space="preserve">et </w:t>
      </w:r>
      <w:r w:rsidRPr="00BD336B">
        <w:rPr>
          <w:b/>
          <w:bCs/>
        </w:rPr>
        <w:t>17% dans les organes de gouvernance</w:t>
      </w:r>
      <w:r w:rsidRPr="00BD336B">
        <w:t xml:space="preserve">. </w:t>
      </w:r>
    </w:p>
    <w:p w14:paraId="31B8B6C5" w14:textId="77777777" w:rsidR="00D83F77" w:rsidRPr="00ED2AA0" w:rsidRDefault="00D83F77" w:rsidP="00075C1D"/>
    <w:p w14:paraId="1A911F7D" w14:textId="485FAE2B" w:rsidR="00E9718C" w:rsidRDefault="00E9718C" w:rsidP="00075C1D">
      <w:r>
        <w:br w:type="page"/>
      </w:r>
    </w:p>
    <w:p w14:paraId="0D7785A6" w14:textId="03723B8D" w:rsidR="00E9718C" w:rsidRPr="00D2735E" w:rsidRDefault="00D34CAF" w:rsidP="00306121">
      <w:pPr>
        <w:pStyle w:val="Titre1"/>
      </w:pPr>
      <w:bookmarkStart w:id="29" w:name="_Toc132901980"/>
      <w:bookmarkStart w:id="30" w:name="_Toc139042729"/>
      <w:r>
        <w:lastRenderedPageBreak/>
        <w:t>S</w:t>
      </w:r>
      <w:r w:rsidR="00E9718C">
        <w:t xml:space="preserve">tratégie d'engagement </w:t>
      </w:r>
      <w:r w:rsidR="00BA7907">
        <w:t xml:space="preserve">et </w:t>
      </w:r>
      <w:r w:rsidR="00E9718C">
        <w:t>mise en oeuvre</w:t>
      </w:r>
      <w:bookmarkEnd w:id="29"/>
      <w:bookmarkEnd w:id="30"/>
    </w:p>
    <w:p w14:paraId="38172686" w14:textId="2BE2089A" w:rsidR="00B801A0" w:rsidRDefault="00B801A0" w:rsidP="00B72038">
      <w:r>
        <w:t xml:space="preserve">En application de </w:t>
      </w:r>
      <w:r w:rsidR="00C2410B">
        <w:t>s</w:t>
      </w:r>
      <w:r>
        <w:t>a doctrine d’intervention, Bpifrance veille à ce que</w:t>
      </w:r>
      <w:r w:rsidR="00B72038">
        <w:t xml:space="preserve"> </w:t>
      </w:r>
      <w:r>
        <w:t xml:space="preserve">sa participation n’excède </w:t>
      </w:r>
      <w:r w:rsidR="00B72038">
        <w:t>pas</w:t>
      </w:r>
      <w:r>
        <w:t xml:space="preserve"> 50% des actions votantes ou 50% de l’ensemble des fonds propres d’une contrepartie toutes catégories d’actions confondues</w:t>
      </w:r>
      <w:r w:rsidR="0055626A">
        <w:t>,</w:t>
      </w:r>
      <w:r w:rsidR="00B72038">
        <w:t xml:space="preserve"> et que l</w:t>
      </w:r>
      <w:r>
        <w:t>e contrôle de la contrepartie sur une base entièrement diluée est toujours assumé par des entrepreneurs et des investisseurs provenant du secteur privé.</w:t>
      </w:r>
    </w:p>
    <w:p w14:paraId="0F53536D" w14:textId="47BCAFF5" w:rsidR="000D0648" w:rsidRDefault="002665AE" w:rsidP="002665AE">
      <w:pPr>
        <w:pStyle w:val="Titre2"/>
      </w:pPr>
      <w:bookmarkStart w:id="31" w:name="_Ref137484143"/>
      <w:bookmarkStart w:id="32" w:name="_Ref137484218"/>
      <w:bookmarkStart w:id="33" w:name="_Toc139042730"/>
      <w:r>
        <w:t>S</w:t>
      </w:r>
      <w:r w:rsidR="00257E41">
        <w:t>tratégie d’engagement</w:t>
      </w:r>
      <w:bookmarkEnd w:id="31"/>
      <w:bookmarkEnd w:id="32"/>
      <w:bookmarkEnd w:id="33"/>
    </w:p>
    <w:p w14:paraId="3F08B4D4" w14:textId="27715893" w:rsidR="00F64225" w:rsidRPr="00F64225" w:rsidRDefault="00F64225" w:rsidP="00F64225">
      <w:r w:rsidRPr="00F64225">
        <w:t>Bpifrance Investissement prend en compte les critères extra-financiers dans sa stratégie d’investissement, de développement et d’accompagnement des</w:t>
      </w:r>
      <w:r w:rsidR="004878BA">
        <w:t xml:space="preserve"> </w:t>
      </w:r>
      <w:r w:rsidRPr="00F64225">
        <w:t>entreprises. Sa politique d’investissement responsable s’articule autour des quatre priorités de responsabilité</w:t>
      </w:r>
      <w:r w:rsidR="004878BA">
        <w:t xml:space="preserve"> </w:t>
      </w:r>
      <w:r w:rsidRPr="00F64225">
        <w:t xml:space="preserve">sociétale </w:t>
      </w:r>
      <w:r w:rsidR="00C2410B">
        <w:t>du</w:t>
      </w:r>
      <w:r w:rsidRPr="00F64225">
        <w:t xml:space="preserve"> groupe Bpifrance</w:t>
      </w:r>
      <w:r w:rsidR="00BA7907">
        <w:t> </w:t>
      </w:r>
      <w:r w:rsidRPr="00F64225">
        <w:t>:</w:t>
      </w:r>
    </w:p>
    <w:p w14:paraId="4C0DF37E" w14:textId="06ABDA00" w:rsidR="00F64225" w:rsidRPr="00F64225" w:rsidRDefault="004878BA" w:rsidP="004878BA">
      <w:pPr>
        <w:pStyle w:val="Puce1"/>
      </w:pPr>
      <w:r w:rsidRPr="00F64225">
        <w:t>L</w:t>
      </w:r>
      <w:r w:rsidR="00F64225" w:rsidRPr="00F64225">
        <w:t>e</w:t>
      </w:r>
      <w:r>
        <w:t xml:space="preserve"> </w:t>
      </w:r>
      <w:r w:rsidR="00F64225" w:rsidRPr="00F64225">
        <w:t>développement de l’emploi, et plus particulièrement des jeunes,</w:t>
      </w:r>
    </w:p>
    <w:p w14:paraId="7EF2AE3C" w14:textId="7B79CD21" w:rsidR="00F64225" w:rsidRPr="00F64225" w:rsidRDefault="004878BA" w:rsidP="004878BA">
      <w:pPr>
        <w:pStyle w:val="Puce1"/>
      </w:pPr>
      <w:r w:rsidRPr="00F64225">
        <w:t>L</w:t>
      </w:r>
      <w:r w:rsidR="00F64225" w:rsidRPr="00F64225">
        <w:t>a</w:t>
      </w:r>
      <w:r>
        <w:t xml:space="preserve"> </w:t>
      </w:r>
      <w:r w:rsidR="00F64225" w:rsidRPr="00F64225">
        <w:t>transition écologique et énergétique, et plus particulièrement l’optimisation de l’utilisation des ressources</w:t>
      </w:r>
      <w:r>
        <w:t xml:space="preserve"> </w:t>
      </w:r>
      <w:r w:rsidR="00F64225" w:rsidRPr="00F64225">
        <w:t>énergétiques,</w:t>
      </w:r>
    </w:p>
    <w:p w14:paraId="3F132850" w14:textId="44577C6B" w:rsidR="00F64225" w:rsidRPr="00F64225" w:rsidRDefault="004878BA" w:rsidP="004878BA">
      <w:pPr>
        <w:pStyle w:val="Puce1"/>
      </w:pPr>
      <w:r w:rsidRPr="00F64225">
        <w:t>L</w:t>
      </w:r>
      <w:r w:rsidR="00F64225" w:rsidRPr="00F64225">
        <w:t>a</w:t>
      </w:r>
      <w:r>
        <w:t xml:space="preserve"> </w:t>
      </w:r>
      <w:r w:rsidR="00F64225" w:rsidRPr="00F64225">
        <w:t>qualité de la gouvernance et du management, notamment en y promouvant l’intégration des femmes,</w:t>
      </w:r>
    </w:p>
    <w:p w14:paraId="612798D6" w14:textId="1CECCDCC" w:rsidR="00EA19A6" w:rsidRPr="004878BA" w:rsidRDefault="004878BA" w:rsidP="004878BA">
      <w:pPr>
        <w:pStyle w:val="Puce1"/>
      </w:pPr>
      <w:r w:rsidRPr="00F64225">
        <w:t>L</w:t>
      </w:r>
      <w:r w:rsidR="00F64225" w:rsidRPr="00F64225">
        <w:t>a</w:t>
      </w:r>
      <w:r>
        <w:t xml:space="preserve"> </w:t>
      </w:r>
      <w:r w:rsidR="00F64225" w:rsidRPr="00F64225">
        <w:t>promotion de l’entrepreneuriat féminin.</w:t>
      </w:r>
    </w:p>
    <w:p w14:paraId="659E0E73" w14:textId="77777777" w:rsidR="008448DE" w:rsidRDefault="008448DE" w:rsidP="00B842BB"/>
    <w:p w14:paraId="1568D5DB" w14:textId="556A2F1B" w:rsidR="00E9718C" w:rsidRDefault="00294E3A" w:rsidP="008448DE">
      <w:r>
        <w:t>Les approches</w:t>
      </w:r>
      <w:r w:rsidR="00AD159F">
        <w:t xml:space="preserve"> d’engagement peuvent varier selon le type d’investissements.</w:t>
      </w:r>
    </w:p>
    <w:p w14:paraId="52B4B754" w14:textId="13F3254B" w:rsidR="00FD3E52" w:rsidRPr="00663199" w:rsidRDefault="00FD3E52" w:rsidP="003C036C">
      <w:pPr>
        <w:pStyle w:val="Puce2"/>
      </w:pPr>
      <w:r w:rsidRPr="00663199">
        <w:rPr>
          <w:u w:val="single"/>
        </w:rPr>
        <w:t xml:space="preserve">Investissement </w:t>
      </w:r>
      <w:r w:rsidR="00BA7907" w:rsidRPr="00663199">
        <w:rPr>
          <w:u w:val="single"/>
        </w:rPr>
        <w:t>direct</w:t>
      </w:r>
      <w:r w:rsidR="00BA7907" w:rsidRPr="00663199">
        <w:t xml:space="preserve"> :</w:t>
      </w:r>
    </w:p>
    <w:p w14:paraId="1F4FC437" w14:textId="1B78C33B" w:rsidR="00FD3E52" w:rsidRPr="00663199" w:rsidRDefault="00FD3E52" w:rsidP="00782C65">
      <w:pPr>
        <w:ind w:left="708"/>
      </w:pPr>
      <w:r w:rsidRPr="00663199">
        <w:t>Bpifrance prend en compte les critères ESG aussi bien dans l’étude des opportunités d’investissement que dans l’accompagnement des participations, notamment au regard des activités et de la taille des entreprises.</w:t>
      </w:r>
    </w:p>
    <w:p w14:paraId="5227295A" w14:textId="77777777" w:rsidR="00FD3E52" w:rsidRPr="00663199" w:rsidRDefault="00FD3E52" w:rsidP="00782C65">
      <w:pPr>
        <w:ind w:left="708"/>
      </w:pPr>
      <w:r w:rsidRPr="00663199">
        <w:t>La représentation de Bpifrance dans les instances de gouvernance et la fréquence des échanges avec les dirigeants permettent un suivi actif des participations en vue d’appréhender la situation financière, les enjeux et les risques liés à l’activité, au secteur et à l’évolution capitalistiques des entreprises.</w:t>
      </w:r>
    </w:p>
    <w:p w14:paraId="436A4473" w14:textId="2CADD17D" w:rsidR="00FD3E52" w:rsidRPr="00663199" w:rsidRDefault="00FD3E52" w:rsidP="00782C65">
      <w:pPr>
        <w:ind w:left="708"/>
      </w:pPr>
      <w:r w:rsidRPr="00663199">
        <w:t xml:space="preserve">Bpifrance entretient un dialogue continu avec les dirigeants des entreprises investies, que ce soit dans le cadre des conseils d’administration où Bpifrance siège ou au travers de réunions et échanges fréquents avec </w:t>
      </w:r>
      <w:r>
        <w:t>la direction</w:t>
      </w:r>
      <w:r w:rsidRPr="00663199">
        <w:t xml:space="preserve"> de l’entreprise.</w:t>
      </w:r>
    </w:p>
    <w:p w14:paraId="5ED0D90D" w14:textId="77777777" w:rsidR="00FD3E52" w:rsidRPr="00663199" w:rsidRDefault="00FD3E52" w:rsidP="00782C65">
      <w:pPr>
        <w:ind w:left="708"/>
      </w:pPr>
      <w:r w:rsidRPr="00663199">
        <w:t>L’équipe en charge du suivi des participations échange sur les performances commerciales et financières, la mise en œuvre des stratégies d’entreprise et des plans de transformations envisagées (notamment digitaux et Bpifrance développement durable), l’allocation du capital et autres décisions clés permettant de contribuer à la création de valeur et la bonne maitrise du risque.</w:t>
      </w:r>
    </w:p>
    <w:p w14:paraId="0D23A96F" w14:textId="77777777" w:rsidR="00FD3E52" w:rsidRDefault="00FD3E52" w:rsidP="00782C65">
      <w:pPr>
        <w:ind w:left="708"/>
      </w:pPr>
      <w:r w:rsidRPr="00663199">
        <w:t xml:space="preserve">Dans ce cadre, le dialogue régulier avec les participations intègre les performances extra-financières et les enjeux ESG, l’évolution de l’entreprise sur les enjeux ESG clés et axes de progrès définis en concertation avec le dirigeant dans le cadre des organes de gouvernance auxquels participe un représentant de Bpifrance, ou de rencontres de suivi. </w:t>
      </w:r>
    </w:p>
    <w:p w14:paraId="2C27B568" w14:textId="0C54A0BA" w:rsidR="00FD3E52" w:rsidRDefault="00FD3E52" w:rsidP="00782C65">
      <w:pPr>
        <w:ind w:left="708"/>
      </w:pPr>
      <w:r w:rsidRPr="00670EE3">
        <w:t>Par ailleurs, Bpifrance est particulièrement attentif à l’anticipation et au suivi des controverses susceptibles d’affecter ses participations</w:t>
      </w:r>
      <w:r w:rsidR="004F7209">
        <w:t>. Celles-ci</w:t>
      </w:r>
      <w:r w:rsidRPr="00670EE3">
        <w:t xml:space="preserve"> peuvent </w:t>
      </w:r>
      <w:r w:rsidR="00175375" w:rsidRPr="00670EE3">
        <w:t>entraîner</w:t>
      </w:r>
      <w:r w:rsidRPr="00670EE3">
        <w:t xml:space="preserve"> des conséquences sur le risque réputationnel de Bpifrance et indirectement de ses actionnaires et des investisseurs des fonds qu’elle gère. Bpifrance s’efforce, notamment dans le cas de graves controverses, de mettre rapidement en œuvre les plans d’actions adéquates pour protéger les parties prenantes auxquelles elle est liée.</w:t>
      </w:r>
    </w:p>
    <w:p w14:paraId="0A672576" w14:textId="77777777" w:rsidR="00FD3E52" w:rsidRPr="00663199" w:rsidRDefault="00FD3E52" w:rsidP="00B842BB"/>
    <w:p w14:paraId="0145CB19" w14:textId="19CFC2AF" w:rsidR="00310D60" w:rsidRDefault="00FD3E52" w:rsidP="005F196A">
      <w:pPr>
        <w:pStyle w:val="Puce2"/>
      </w:pPr>
      <w:r w:rsidRPr="00663199">
        <w:t xml:space="preserve">S’agissant de l’activité </w:t>
      </w:r>
      <w:r w:rsidR="00C4588C" w:rsidRPr="00B842BB">
        <w:rPr>
          <w:u w:val="single"/>
        </w:rPr>
        <w:t>F</w:t>
      </w:r>
      <w:r w:rsidRPr="00B842BB">
        <w:rPr>
          <w:u w:val="single"/>
        </w:rPr>
        <w:t>onds de fonds</w:t>
      </w:r>
      <w:r w:rsidRPr="00663199">
        <w:t>, Bpifrance (souscripteur des fonds et non actionnaire des entreprises finalement investies) n’exerce qu’une influence indirecte. Bpifrance siège dans la mesure du possible aux comités consultatifs des fonds investis et s’efforce notamment de promouvoir une logique d’investisseur socialement responsable</w:t>
      </w:r>
      <w:r>
        <w:t>.</w:t>
      </w:r>
      <w:r w:rsidRPr="00663199">
        <w:t xml:space="preserve"> </w:t>
      </w:r>
      <w:r>
        <w:t>L</w:t>
      </w:r>
      <w:r w:rsidRPr="00663199">
        <w:t xml:space="preserve">es sociétés de gestion partenaires prennent </w:t>
      </w:r>
      <w:r>
        <w:t xml:space="preserve">cependant </w:t>
      </w:r>
      <w:r w:rsidRPr="00663199">
        <w:t>leurs décisions d’investissement et de gestion de manière indépendante</w:t>
      </w:r>
      <w:r>
        <w:t>, et</w:t>
      </w:r>
      <w:r w:rsidRPr="00663199">
        <w:t xml:space="preserve"> publient leur propre politique d’engagement actionnarial.</w:t>
      </w:r>
    </w:p>
    <w:p w14:paraId="1B835E92" w14:textId="17D61DC9" w:rsidR="00FD3E52" w:rsidRPr="00310D60" w:rsidRDefault="00310D60" w:rsidP="00310D60">
      <w:pPr>
        <w:spacing w:after="200" w:line="276" w:lineRule="auto"/>
        <w:jc w:val="left"/>
      </w:pPr>
      <w:r>
        <w:br w:type="page"/>
      </w:r>
    </w:p>
    <w:p w14:paraId="71E0E01D" w14:textId="2E40A0C4" w:rsidR="00E9718C" w:rsidRPr="0064528C" w:rsidRDefault="00E9718C" w:rsidP="00306121">
      <w:pPr>
        <w:pStyle w:val="Titre2"/>
      </w:pPr>
      <w:bookmarkStart w:id="34" w:name="_Toc132901981"/>
      <w:bookmarkStart w:id="35" w:name="_Toc139042731"/>
      <w:r w:rsidRPr="0064528C">
        <w:lastRenderedPageBreak/>
        <w:t xml:space="preserve">Présentation </w:t>
      </w:r>
      <w:r w:rsidR="004E6A38">
        <w:t xml:space="preserve">et bilan </w:t>
      </w:r>
      <w:r w:rsidRPr="0064528C">
        <w:t>de la politique de vote</w:t>
      </w:r>
      <w:bookmarkEnd w:id="34"/>
      <w:bookmarkEnd w:id="35"/>
    </w:p>
    <w:p w14:paraId="1FE5EDE3" w14:textId="77777777" w:rsidR="001E40C2" w:rsidRPr="00663199" w:rsidRDefault="001E40C2" w:rsidP="00096DA7">
      <w:r w:rsidRPr="00663199">
        <w:t>La politique de vote est applicable aux assemblées générales des sociétés présentes dans les portefeuilles des véhicules ou les entités d’investissement dont Bpifrance Investissement assure la gestion et/ou le conseil.</w:t>
      </w:r>
    </w:p>
    <w:p w14:paraId="52E3E685" w14:textId="77777777" w:rsidR="001E40C2" w:rsidRPr="00663199" w:rsidRDefault="001E40C2" w:rsidP="00096DA7">
      <w:r w:rsidRPr="00663199">
        <w:t>Les dispositions de la loi relative à la création de la Banque publique d'investissement, les orientations de ses actionnaires et les choix de son management ont amené le groupe Bpifrance à s’engager dans une démarche d’identification et de prise en compte de ses responsabilités au regard des trois domaines qui fondent un développement durable : l’économique, le social et l’environnemental ainsi que la gestion des conflits d’intérêts.</w:t>
      </w:r>
    </w:p>
    <w:p w14:paraId="0C0F59FB" w14:textId="77777777" w:rsidR="001E40C2" w:rsidRPr="00663199" w:rsidRDefault="001E40C2" w:rsidP="00096DA7">
      <w:r w:rsidRPr="00663199">
        <w:t>Bpifrance Investissement attache la plus grande importance à la mise en place et au fonctionnement effectif de modalités de gouvernance structurées, éthiques, transparentes, et attentives au respect des intérêts des parties prenantes.</w:t>
      </w:r>
    </w:p>
    <w:p w14:paraId="43FBA79C" w14:textId="77777777" w:rsidR="001E40C2" w:rsidRPr="00663199" w:rsidRDefault="001E40C2" w:rsidP="00096DA7">
      <w:r w:rsidRPr="00663199">
        <w:t>Bpifrance Investissement considère comme essentiel que les sociétés évaluent les impacts stratégiques des questions liées à leur responsabilité sociale et environnementale tant en termes de risques et de réputation que de positionnement concurrentiel ou d’opportunités de croissance. Les résultats de ces analyses doivent être publiés de façon détaillée afin de permettre un dialogue sur le sujet tant avec les actionnaires qu’avec les autres</w:t>
      </w:r>
      <w:r>
        <w:t xml:space="preserve"> </w:t>
      </w:r>
      <w:r w:rsidRPr="00663199">
        <w:t>parties prenantes.</w:t>
      </w:r>
    </w:p>
    <w:p w14:paraId="5B02A328" w14:textId="2859D2B5" w:rsidR="00E9718C" w:rsidRDefault="001E40C2" w:rsidP="00096DA7">
      <w:r w:rsidRPr="00663199">
        <w:t>Dans le</w:t>
      </w:r>
      <w:r>
        <w:t>s</w:t>
      </w:r>
      <w:r w:rsidRPr="00663199">
        <w:t xml:space="preserve"> cas où </w:t>
      </w:r>
      <w:r>
        <w:t>les</w:t>
      </w:r>
      <w:r w:rsidRPr="00663199">
        <w:t xml:space="preserve"> rapports </w:t>
      </w:r>
      <w:r>
        <w:t xml:space="preserve">relatifs au développement durable </w:t>
      </w:r>
      <w:r w:rsidRPr="00663199">
        <w:t>sont soumis à un vote, Bpifrance Investissement peut préconiser de voter contre ou de s’abstenir si l’information présentée est considérée comme insuffisante ou inadéquate.</w:t>
      </w:r>
      <w:r w:rsidRPr="00663199">
        <w:rPr>
          <w:rStyle w:val="Appelnotedebasdep"/>
          <w:rFonts w:asciiTheme="majorHAnsi" w:hAnsiTheme="majorHAnsi" w:cstheme="majorHAnsi"/>
        </w:rPr>
        <w:footnoteReference w:id="15"/>
      </w:r>
    </w:p>
    <w:p w14:paraId="3DABA61D" w14:textId="77777777" w:rsidR="00017E5F" w:rsidRDefault="00017E5F" w:rsidP="00017E5F">
      <w:r w:rsidRPr="00F631ED">
        <w:t xml:space="preserve">En </w:t>
      </w:r>
      <w:r>
        <w:t>2022</w:t>
      </w:r>
      <w:r w:rsidRPr="00F631ED">
        <w:t xml:space="preserve">, Bpifrance Investissement a voté à </w:t>
      </w:r>
      <w:r w:rsidRPr="007E4C97">
        <w:t>42 AG sur un périmètre total de 42 AG</w:t>
      </w:r>
      <w:r w:rsidRPr="00F631ED">
        <w:t xml:space="preserve"> (</w:t>
      </w:r>
      <w:r>
        <w:t>100</w:t>
      </w:r>
      <w:r w:rsidRPr="00F631ED">
        <w:t xml:space="preserve">%). Ces votes ont concerné les </w:t>
      </w:r>
      <w:r>
        <w:t>32</w:t>
      </w:r>
      <w:r w:rsidRPr="00F631ED">
        <w:t xml:space="preserve"> sociétés cotées (</w:t>
      </w:r>
      <w:r>
        <w:t>23</w:t>
      </w:r>
      <w:r w:rsidRPr="00F631ED">
        <w:t xml:space="preserve"> sur Euronext, </w:t>
      </w:r>
      <w:r>
        <w:t>6</w:t>
      </w:r>
      <w:r w:rsidRPr="00F631ED">
        <w:t xml:space="preserve"> sur </w:t>
      </w:r>
      <w:r>
        <w:t>Euronext Growth</w:t>
      </w:r>
      <w:r>
        <w:rPr>
          <w:rStyle w:val="Appelnotedebasdep"/>
          <w:rFonts w:eastAsia="+mj-ea" w:cs="Arial"/>
          <w:color w:val="786E64"/>
        </w:rPr>
        <w:footnoteReference w:id="16"/>
      </w:r>
      <w:r>
        <w:t>,</w:t>
      </w:r>
      <w:r w:rsidRPr="00F631ED">
        <w:t xml:space="preserve"> </w:t>
      </w:r>
      <w:r>
        <w:t>2</w:t>
      </w:r>
      <w:r w:rsidRPr="00F631ED">
        <w:t xml:space="preserve"> sur le Nasdaq</w:t>
      </w:r>
      <w:r>
        <w:t xml:space="preserve"> et 1 sur le NYSE</w:t>
      </w:r>
      <w:r w:rsidRPr="00F631ED">
        <w:t>) réparties au sein des portefeuilles de 1</w:t>
      </w:r>
      <w:r>
        <w:t>5</w:t>
      </w:r>
      <w:r w:rsidRPr="00F631ED">
        <w:t xml:space="preserve"> fonds gérés par Bpifrance Investissement</w:t>
      </w:r>
      <w:r>
        <w:rPr>
          <w:rStyle w:val="Appelnotedebasdep"/>
          <w:rFonts w:eastAsia="+mj-ea" w:cs="Arial"/>
          <w:color w:val="786E64"/>
        </w:rPr>
        <w:footnoteReference w:id="17"/>
      </w:r>
      <w:r w:rsidRPr="00F631ED">
        <w:t>.</w:t>
      </w:r>
      <w:r>
        <w:t xml:space="preserve"> </w:t>
      </w:r>
    </w:p>
    <w:p w14:paraId="7D106F96" w14:textId="77777777" w:rsidR="00017E5F" w:rsidRDefault="00017E5F" w:rsidP="00017E5F"/>
    <w:p w14:paraId="7A95D183" w14:textId="77777777" w:rsidR="00017E5F" w:rsidRPr="007D0A4D" w:rsidRDefault="00017E5F" w:rsidP="00017E5F">
      <w:r w:rsidRPr="007D0A4D">
        <w:t xml:space="preserve">Bpifrance Investissement n’a pas exprimé de votre </w:t>
      </w:r>
      <w:r>
        <w:t>« c</w:t>
      </w:r>
      <w:r w:rsidRPr="007D0A4D">
        <w:t>ontre</w:t>
      </w:r>
      <w:r>
        <w:t> »</w:t>
      </w:r>
      <w:r w:rsidRPr="007D0A4D">
        <w:t xml:space="preserve"> ou d’</w:t>
      </w:r>
      <w:r>
        <w:t>a</w:t>
      </w:r>
      <w:r w:rsidRPr="007D0A4D">
        <w:t>bstention sur les résolutions relatives aux enjeux Environnementaux, Sociaux et de Gouvernance en 202</w:t>
      </w:r>
      <w:r>
        <w:t>2</w:t>
      </w:r>
      <w:r w:rsidRPr="007D0A4D">
        <w:t>.</w:t>
      </w:r>
    </w:p>
    <w:p w14:paraId="609390E3" w14:textId="77777777" w:rsidR="00017E5F" w:rsidRPr="00D77BF8" w:rsidRDefault="00017E5F" w:rsidP="00017E5F">
      <w:pPr>
        <w:rPr>
          <w:b/>
          <w:bCs/>
        </w:rPr>
      </w:pPr>
      <w:r>
        <w:t>Une seule résolution sur des enjeux de gouvernance a été soumise aux AG auxquelles Bpifrance Investissement a participé</w:t>
      </w:r>
    </w:p>
    <w:p w14:paraId="1C9FCA3A" w14:textId="77777777" w:rsidR="00017E5F" w:rsidRPr="001574FD" w:rsidRDefault="00017E5F" w:rsidP="00096DA7">
      <w:pPr>
        <w:rPr>
          <w:b/>
          <w:bCs/>
        </w:rPr>
      </w:pPr>
    </w:p>
    <w:p w14:paraId="0F3A21A8" w14:textId="60BF70DB" w:rsidR="00E9718C" w:rsidRPr="0064528C" w:rsidRDefault="008E4C04" w:rsidP="00306121">
      <w:pPr>
        <w:pStyle w:val="Titre2"/>
      </w:pPr>
      <w:bookmarkStart w:id="36" w:name="_Toc132901982"/>
      <w:bookmarkStart w:id="37" w:name="_Toc139042732"/>
      <w:r>
        <w:t>M</w:t>
      </w:r>
      <w:r w:rsidR="00324F42">
        <w:t>ise en oeuvre</w:t>
      </w:r>
      <w:r w:rsidR="00324F42" w:rsidRPr="0064528C">
        <w:t xml:space="preserve"> </w:t>
      </w:r>
      <w:r w:rsidR="00E9718C" w:rsidRPr="0064528C">
        <w:t>de la stratégie d'engagement</w:t>
      </w:r>
      <w:bookmarkEnd w:id="37"/>
      <w:r w:rsidR="00E9718C" w:rsidRPr="0064528C">
        <w:t xml:space="preserve"> </w:t>
      </w:r>
      <w:bookmarkEnd w:id="36"/>
    </w:p>
    <w:p w14:paraId="5CDF63E9" w14:textId="007C3E13" w:rsidR="002D60AF" w:rsidRDefault="002D60AF" w:rsidP="00496E6A">
      <w:r w:rsidRPr="00670EE3">
        <w:t>Bpifrance Investissement est actif pour promouvoir l’intégration ESG</w:t>
      </w:r>
      <w:r>
        <w:t>, d’une part</w:t>
      </w:r>
      <w:r w:rsidRPr="00670EE3">
        <w:t xml:space="preserve"> dans les associations professionnelles françaises</w:t>
      </w:r>
      <w:r>
        <w:t>,</w:t>
      </w:r>
      <w:r w:rsidRPr="00670EE3">
        <w:t xml:space="preserve"> et, d’autre part, </w:t>
      </w:r>
      <w:r>
        <w:t>auprès des entreprises.</w:t>
      </w:r>
      <w:r w:rsidR="00496E6A">
        <w:t xml:space="preserve"> </w:t>
      </w:r>
      <w:r>
        <w:t>Bpifrance Investissement participe ainsi à plusieurs groupes de travail de France Invest, , intervient régulièrement à des conférences, participe à des interviews et publications.</w:t>
      </w:r>
    </w:p>
    <w:p w14:paraId="2190EC02" w14:textId="77777777" w:rsidR="00042F30" w:rsidRPr="00670EE3" w:rsidRDefault="00042F30" w:rsidP="00496E6A"/>
    <w:p w14:paraId="0108B7BE" w14:textId="77777777" w:rsidR="002D60AF" w:rsidRPr="00670EE3" w:rsidRDefault="002D60AF" w:rsidP="00496E6A">
      <w:r w:rsidRPr="00670EE3">
        <w:t>La sensibilisation des entreprises repose sur plusieurs piliers :</w:t>
      </w:r>
    </w:p>
    <w:p w14:paraId="467D9C2F" w14:textId="574E91D9" w:rsidR="002D60AF" w:rsidRPr="005F12C3" w:rsidRDefault="002D60AF" w:rsidP="00496E6A">
      <w:pPr>
        <w:pStyle w:val="Puce2"/>
        <w:rPr>
          <w:u w:val="single"/>
        </w:rPr>
      </w:pPr>
      <w:r w:rsidRPr="005F12C3">
        <w:rPr>
          <w:u w:val="single"/>
        </w:rPr>
        <w:t>Les évènements et interviews</w:t>
      </w:r>
    </w:p>
    <w:p w14:paraId="5BDD9EB3" w14:textId="77777777" w:rsidR="002D60AF" w:rsidRPr="00670EE3" w:rsidRDefault="002D60AF" w:rsidP="00496E6A">
      <w:pPr>
        <w:pStyle w:val="Puce2"/>
        <w:numPr>
          <w:ilvl w:val="0"/>
          <w:numId w:val="0"/>
        </w:numPr>
        <w:ind w:left="708"/>
      </w:pPr>
      <w:r w:rsidRPr="00670EE3">
        <w:t>Organisés par Bpifrance ou Bpifrance participant, ils permettent de porter la vision de la RSE concrète et facteur de transformation de l’entreprise, pour répondre aux attentes et prendre sa part des grands enjeux environnementaux et sociaux.</w:t>
      </w:r>
    </w:p>
    <w:p w14:paraId="601E2659" w14:textId="77380A47" w:rsidR="002D60AF" w:rsidRPr="005F12C3" w:rsidRDefault="002D60AF" w:rsidP="00496E6A">
      <w:pPr>
        <w:pStyle w:val="Puce2"/>
        <w:rPr>
          <w:u w:val="single"/>
        </w:rPr>
      </w:pPr>
      <w:r w:rsidRPr="005F12C3">
        <w:rPr>
          <w:u w:val="single"/>
        </w:rPr>
        <w:t>L’accompagnement</w:t>
      </w:r>
    </w:p>
    <w:p w14:paraId="7FB1FEB1" w14:textId="3623D61B" w:rsidR="002D60AF" w:rsidRPr="00670EE3" w:rsidRDefault="002D60AF" w:rsidP="00496E6A">
      <w:pPr>
        <w:pStyle w:val="Puce2"/>
        <w:numPr>
          <w:ilvl w:val="0"/>
          <w:numId w:val="0"/>
        </w:numPr>
        <w:ind w:left="720"/>
      </w:pPr>
      <w:r w:rsidRPr="00670EE3">
        <w:t>La production et la mise à disposition de contenus (</w:t>
      </w:r>
      <w:r w:rsidR="00B62135">
        <w:t xml:space="preserve">ex : </w:t>
      </w:r>
      <w:r w:rsidRPr="00670EE3">
        <w:t xml:space="preserve">guides RSE, webinaires) d’une part, </w:t>
      </w:r>
      <w:r w:rsidR="004201B0">
        <w:t xml:space="preserve">et d’une </w:t>
      </w:r>
      <w:r w:rsidRPr="00670EE3">
        <w:t xml:space="preserve">offre </w:t>
      </w:r>
      <w:r w:rsidR="004201B0">
        <w:t>d’</w:t>
      </w:r>
      <w:r w:rsidRPr="00670EE3">
        <w:t>accompagnement d’autre part, ont été mis à disposition des entreprises.</w:t>
      </w:r>
      <w:r w:rsidR="004201B0">
        <w:t xml:space="preserve"> Plus de détails, notamment sur les actions et outils </w:t>
      </w:r>
      <w:r w:rsidR="002636B0">
        <w:t xml:space="preserve">visant les enjeux du climat, </w:t>
      </w:r>
      <w:r w:rsidR="00B30E18">
        <w:t>sont disponibles dans la section</w:t>
      </w:r>
      <w:r w:rsidR="007A7D93">
        <w:t xml:space="preserve"> 8.4)</w:t>
      </w:r>
    </w:p>
    <w:p w14:paraId="6A84CEC0" w14:textId="5A8BEDC2" w:rsidR="002D60AF" w:rsidRPr="00670EE3" w:rsidRDefault="002D60AF" w:rsidP="00496E6A">
      <w:pPr>
        <w:pStyle w:val="Puce2"/>
      </w:pPr>
      <w:r w:rsidRPr="005F12C3">
        <w:rPr>
          <w:u w:val="single"/>
        </w:rPr>
        <w:t>Les actions de sensibilisation et de formation des entreprises à la RSE</w:t>
      </w:r>
    </w:p>
    <w:p w14:paraId="15C1AECA" w14:textId="03FC7EBC" w:rsidR="00E9718C" w:rsidRPr="001248C4" w:rsidRDefault="002D60AF" w:rsidP="00496E6A">
      <w:pPr>
        <w:pStyle w:val="Puce2"/>
        <w:numPr>
          <w:ilvl w:val="0"/>
          <w:numId w:val="0"/>
        </w:numPr>
        <w:ind w:left="720"/>
        <w:rPr>
          <w:b/>
          <w:bCs/>
        </w:rPr>
      </w:pPr>
      <w:r w:rsidRPr="00670EE3">
        <w:t>Des programmes menés avec cinq partenaires principaux, en mode digital, sont proposés aux entreprises, pour les amener à mettre en place et structurer leur démarche RSE, en appui avec des réseaux d’entreprises et partenaires.</w:t>
      </w:r>
    </w:p>
    <w:p w14:paraId="2C6FB920" w14:textId="01B48268" w:rsidR="00E9718C" w:rsidRDefault="00E9718C" w:rsidP="00306121">
      <w:pPr>
        <w:pStyle w:val="Titre2"/>
      </w:pPr>
      <w:bookmarkStart w:id="38" w:name="_Toc132901984"/>
      <w:bookmarkStart w:id="39" w:name="_Toc139042733"/>
      <w:r w:rsidRPr="0064528C">
        <w:lastRenderedPageBreak/>
        <w:t>Décisions en matière de stratégie d'investissement, notamment en matière de désengagement</w:t>
      </w:r>
      <w:r w:rsidR="00324F42">
        <w:t>s</w:t>
      </w:r>
      <w:r w:rsidRPr="0064528C">
        <w:t xml:space="preserve"> sectoriel</w:t>
      </w:r>
      <w:bookmarkEnd w:id="38"/>
      <w:r w:rsidR="00324F42">
        <w:t>s</w:t>
      </w:r>
      <w:bookmarkEnd w:id="39"/>
    </w:p>
    <w:p w14:paraId="7B374538" w14:textId="1D04A2CB" w:rsidR="00F403A5" w:rsidRDefault="002E54EA" w:rsidP="005A004F">
      <w:r>
        <w:t xml:space="preserve">En </w:t>
      </w:r>
      <w:r w:rsidR="009356BB">
        <w:t xml:space="preserve">décembre </w:t>
      </w:r>
      <w:r>
        <w:t>2022</w:t>
      </w:r>
      <w:r w:rsidR="009356BB">
        <w:t>, Bpifrance Investissement et le groupe Bpifrance</w:t>
      </w:r>
      <w:r w:rsidR="00FA7455">
        <w:t xml:space="preserve"> ont fait évoluer certains éléments de </w:t>
      </w:r>
      <w:r w:rsidR="00597BCD">
        <w:t>l</w:t>
      </w:r>
      <w:r w:rsidR="006C3F6A">
        <w:t xml:space="preserve">a politique </w:t>
      </w:r>
      <w:r w:rsidR="006C3F6A" w:rsidRPr="006C3F6A">
        <w:t>d’exclusion</w:t>
      </w:r>
      <w:r w:rsidR="00B22B66">
        <w:t xml:space="preserve"> dans</w:t>
      </w:r>
      <w:r w:rsidR="006C3F6A" w:rsidRPr="006C3F6A">
        <w:t xml:space="preserve"> des investissements et financements qu’il</w:t>
      </w:r>
      <w:r w:rsidR="00597BCD">
        <w:t>s</w:t>
      </w:r>
      <w:r w:rsidR="006C3F6A" w:rsidRPr="006C3F6A">
        <w:t xml:space="preserve"> considère</w:t>
      </w:r>
      <w:r w:rsidR="00597BCD">
        <w:t>nt</w:t>
      </w:r>
      <w:r w:rsidR="006C3F6A" w:rsidRPr="006C3F6A">
        <w:t xml:space="preserve"> incompatibles avec les valeurs et les objectifs qu’il</w:t>
      </w:r>
      <w:r w:rsidR="00677757">
        <w:t>s</w:t>
      </w:r>
      <w:r w:rsidR="006C3F6A" w:rsidRPr="006C3F6A">
        <w:t xml:space="preserve"> cherche</w:t>
      </w:r>
      <w:r w:rsidR="00677757">
        <w:t>nt</w:t>
      </w:r>
      <w:r w:rsidR="006C3F6A" w:rsidRPr="006C3F6A">
        <w:t xml:space="preserve"> à atteindre. Cette liste d’exclusions indique les activités que celui-ci se refuse de financer ou dans lesquelles il se refuse d’investir, du fait d'exigences normatives ou de critères d'ordre environnementaux, éthiques ou sociaux découlant des engagements ESG.</w:t>
      </w:r>
      <w:r w:rsidR="00C05317">
        <w:t xml:space="preserve"> </w:t>
      </w:r>
    </w:p>
    <w:p w14:paraId="2E3CC930" w14:textId="77777777" w:rsidR="00F23300" w:rsidRDefault="00F23300" w:rsidP="005A004F"/>
    <w:p w14:paraId="2E757518" w14:textId="7093031A" w:rsidR="005A004F" w:rsidRPr="005A004F" w:rsidRDefault="00574CD8" w:rsidP="005A004F">
      <w:r>
        <w:t xml:space="preserve">Ainsi, </w:t>
      </w:r>
      <w:r w:rsidR="00F531C1">
        <w:t xml:space="preserve">les principales évolutions </w:t>
      </w:r>
      <w:r w:rsidR="007633EB">
        <w:t>concernent l</w:t>
      </w:r>
      <w:r w:rsidR="005A004F" w:rsidRPr="005A004F">
        <w:t xml:space="preserve">es activités </w:t>
      </w:r>
      <w:r w:rsidR="00383BE1">
        <w:t xml:space="preserve">exclues </w:t>
      </w:r>
      <w:r w:rsidR="005A004F" w:rsidRPr="005A004F">
        <w:t xml:space="preserve">suivantes : </w:t>
      </w:r>
    </w:p>
    <w:p w14:paraId="6B19D7D5" w14:textId="6CDBA682" w:rsidR="005A004F" w:rsidRPr="005A004F" w:rsidRDefault="005A004F" w:rsidP="00251F94">
      <w:pPr>
        <w:pStyle w:val="Puce3"/>
      </w:pPr>
      <w:r w:rsidRPr="005A004F">
        <w:t xml:space="preserve">Entreprises ou activité dans le secteur des énergies fossiles, selon les modalités définies dans le chapitre sur le climat </w:t>
      </w:r>
      <w:r w:rsidR="006D7B7F">
        <w:t>(</w:t>
      </w:r>
      <w:r w:rsidR="00251F94">
        <w:t xml:space="preserve">nouveautés : </w:t>
      </w:r>
      <w:r w:rsidR="006D7B7F">
        <w:t>seuils rabaissés</w:t>
      </w:r>
      <w:r w:rsidR="0050113B">
        <w:t xml:space="preserve"> pour les activités liées au charbon thermique ; nouveau périmètre pour le</w:t>
      </w:r>
      <w:r w:rsidR="00251F94">
        <w:t xml:space="preserve"> pétrole et le gaz naturel),</w:t>
      </w:r>
    </w:p>
    <w:p w14:paraId="5979F678" w14:textId="35F44E3E" w:rsidR="005A004F" w:rsidRPr="005A004F" w:rsidRDefault="005A004F" w:rsidP="00251F94">
      <w:pPr>
        <w:pStyle w:val="Puce3"/>
      </w:pPr>
      <w:r w:rsidRPr="005A004F">
        <w:t>Entreprises ou activité principale de fabrication ou de commerce lié à la pornographie</w:t>
      </w:r>
      <w:r w:rsidR="00300232">
        <w:t xml:space="preserve"> (nouveau)</w:t>
      </w:r>
      <w:r w:rsidR="00251F94">
        <w:t>,</w:t>
      </w:r>
    </w:p>
    <w:p w14:paraId="36F14F9B" w14:textId="6395D8EB" w:rsidR="005A004F" w:rsidRPr="005A004F" w:rsidRDefault="005A004F" w:rsidP="00300232">
      <w:pPr>
        <w:pStyle w:val="Puce3"/>
        <w:numPr>
          <w:ilvl w:val="0"/>
          <w:numId w:val="0"/>
        </w:numPr>
        <w:ind w:left="1080"/>
      </w:pPr>
      <w:r w:rsidRPr="005A004F">
        <w:t>Entreprises ou activité principale de fabrication, de stockage ou de vente du tabac</w:t>
      </w:r>
      <w:r w:rsidR="00251F94">
        <w:t xml:space="preserve"> (nouveauté : élargissement de la chaine de valeur ; inclusion de cigarettes électroniques),</w:t>
      </w:r>
    </w:p>
    <w:p w14:paraId="6287CA5E" w14:textId="06721114" w:rsidR="005A004F" w:rsidRPr="005A004F" w:rsidRDefault="005A004F" w:rsidP="00251F94">
      <w:pPr>
        <w:pStyle w:val="Puce3"/>
      </w:pPr>
      <w:r w:rsidRPr="005A004F">
        <w:t>Entreprises ou activité principale de commerce de jeux d’argent</w:t>
      </w:r>
      <w:r w:rsidR="00300232">
        <w:t xml:space="preserve"> (nouveau)</w:t>
      </w:r>
      <w:r w:rsidR="00D40E9B">
        <w:t>,</w:t>
      </w:r>
    </w:p>
    <w:p w14:paraId="445672BC" w14:textId="2E71D34A" w:rsidR="00300232" w:rsidRPr="005A004F" w:rsidRDefault="00F23300" w:rsidP="00251F94">
      <w:pPr>
        <w:pStyle w:val="Puce3"/>
      </w:pPr>
      <w:r w:rsidRPr="00F23300">
        <w:t>Les spéculations sur les matières premières agricoles qui ont des impacts directs sur les prix alimentaires</w:t>
      </w:r>
      <w:r w:rsidR="007633EB">
        <w:t xml:space="preserve"> (nouveau)</w:t>
      </w:r>
      <w:r>
        <w:t>.</w:t>
      </w:r>
    </w:p>
    <w:p w14:paraId="61EFF76F" w14:textId="77777777" w:rsidR="00F23300" w:rsidRDefault="00F23300" w:rsidP="00F23300">
      <w:pPr>
        <w:pStyle w:val="Puce1"/>
        <w:numPr>
          <w:ilvl w:val="0"/>
          <w:numId w:val="0"/>
        </w:numPr>
        <w:ind w:left="360" w:hanging="360"/>
      </w:pPr>
    </w:p>
    <w:p w14:paraId="18C38278" w14:textId="2D5E2AF8" w:rsidR="00383BE1" w:rsidRDefault="00383BE1" w:rsidP="000562A8">
      <w:r>
        <w:t>L</w:t>
      </w:r>
      <w:r w:rsidR="00FC1932">
        <w:t>’</w:t>
      </w:r>
      <w:r>
        <w:t>exclusion concernant les entreprises impliquées dans l</w:t>
      </w:r>
      <w:r w:rsidR="000562A8">
        <w:t>a production, le développement, le stockage, la distribution, la commercialisation ou l’utilisation d’armes non-conventionnelles</w:t>
      </w:r>
      <w:r w:rsidR="00FC1932">
        <w:t xml:space="preserve"> n’a pas évoluée en 2022.</w:t>
      </w:r>
    </w:p>
    <w:p w14:paraId="7789CD71" w14:textId="64C72633" w:rsidR="00CE71E5" w:rsidRPr="00F403A5" w:rsidRDefault="00F23300" w:rsidP="00F23300">
      <w:pPr>
        <w:pStyle w:val="Puce1"/>
        <w:numPr>
          <w:ilvl w:val="0"/>
          <w:numId w:val="0"/>
        </w:numPr>
        <w:ind w:left="360" w:hanging="360"/>
      </w:pPr>
      <w:r>
        <w:t>Ces nouvelles dispositions entreront en application en juillet 2023.</w:t>
      </w:r>
    </w:p>
    <w:p w14:paraId="75E56797" w14:textId="3BCA3FC3" w:rsidR="00C60ECA" w:rsidRDefault="00505BBB" w:rsidP="00306121">
      <w:pPr>
        <w:pStyle w:val="Titre1"/>
        <w:spacing w:after="200" w:line="276" w:lineRule="auto"/>
        <w:jc w:val="left"/>
      </w:pPr>
      <w:bookmarkStart w:id="40" w:name="_Toc132901986"/>
      <w:bookmarkStart w:id="41" w:name="_Toc139042734"/>
      <w:r>
        <w:lastRenderedPageBreak/>
        <w:t>T</w:t>
      </w:r>
      <w:r w:rsidR="00C60ECA">
        <w:t>axonomie europeenne et combustibles fossiles</w:t>
      </w:r>
      <w:bookmarkEnd w:id="40"/>
      <w:bookmarkEnd w:id="41"/>
    </w:p>
    <w:p w14:paraId="25003F17" w14:textId="26987F2F" w:rsidR="00C60ECA" w:rsidRPr="0064528C" w:rsidRDefault="00AC56DD" w:rsidP="00306121">
      <w:pPr>
        <w:pStyle w:val="Titre2"/>
      </w:pPr>
      <w:bookmarkStart w:id="42" w:name="_Toc132901987"/>
      <w:bookmarkStart w:id="43" w:name="_Toc139042735"/>
      <w:r>
        <w:t>Taxonomie européenne</w:t>
      </w:r>
      <w:bookmarkEnd w:id="42"/>
      <w:bookmarkEnd w:id="43"/>
    </w:p>
    <w:p w14:paraId="317B246A" w14:textId="07F1AC02" w:rsidR="00C60ECA" w:rsidRDefault="00537CFD" w:rsidP="0070053F">
      <w:r>
        <w:t xml:space="preserve">Compte tenu de l’absence de données d’alignement à la taxonomie européenne </w:t>
      </w:r>
      <w:r w:rsidR="008E0F7F">
        <w:t xml:space="preserve">des entreprises en portefeuille, Bpifrance </w:t>
      </w:r>
      <w:r w:rsidR="0070053F">
        <w:t xml:space="preserve">présente ici la part des encours concernant les </w:t>
      </w:r>
      <w:r w:rsidR="00302C28" w:rsidRPr="00C9118C">
        <w:t>activités éligibles aux critères techniques du règlement (UE) 2020/852 "Taxonomie"</w:t>
      </w:r>
      <w:r w:rsidR="0070053F">
        <w:t>.</w:t>
      </w:r>
      <w:r w:rsidR="00FD6DF0">
        <w:t xml:space="preserve"> Ce choix </w:t>
      </w:r>
      <w:r w:rsidR="00F22232">
        <w:t xml:space="preserve">est fait en conformité avec </w:t>
      </w:r>
      <w:r w:rsidR="00472F13">
        <w:t>les préconisations</w:t>
      </w:r>
      <w:r w:rsidR="00F22232">
        <w:t xml:space="preserve"> du régulateur en période transitoire pour les exercice clos au 31/12/2022.</w:t>
      </w:r>
    </w:p>
    <w:p w14:paraId="6EC290B3" w14:textId="77777777" w:rsidR="0070053F" w:rsidRDefault="0070053F" w:rsidP="0070053F">
      <w:pPr>
        <w:rPr>
          <w:b/>
          <w:bCs/>
        </w:rPr>
      </w:pPr>
    </w:p>
    <w:tbl>
      <w:tblPr>
        <w:tblW w:w="9923" w:type="dxa"/>
        <w:tblInd w:w="-5" w:type="dxa"/>
        <w:tblCellMar>
          <w:left w:w="70" w:type="dxa"/>
          <w:right w:w="70" w:type="dxa"/>
        </w:tblCellMar>
        <w:tblLook w:val="04A0" w:firstRow="1" w:lastRow="0" w:firstColumn="1" w:lastColumn="0" w:noHBand="0" w:noVBand="1"/>
      </w:tblPr>
      <w:tblGrid>
        <w:gridCol w:w="1701"/>
        <w:gridCol w:w="1560"/>
        <w:gridCol w:w="1701"/>
        <w:gridCol w:w="1559"/>
        <w:gridCol w:w="1559"/>
        <w:gridCol w:w="1843"/>
      </w:tblGrid>
      <w:tr w:rsidR="00705350" w:rsidRPr="001326EC" w14:paraId="46DD40A8" w14:textId="77777777" w:rsidTr="001326EC">
        <w:trPr>
          <w:trHeight w:val="57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4217A" w14:textId="77777777" w:rsidR="00705350" w:rsidRPr="00705350" w:rsidRDefault="00705350" w:rsidP="00705350">
            <w:pPr>
              <w:spacing w:line="240" w:lineRule="auto"/>
              <w:jc w:val="left"/>
              <w:rPr>
                <w:rFonts w:eastAsia="Times New Roman" w:cs="Arial"/>
                <w:b/>
                <w:bCs/>
                <w:color w:val="000000"/>
                <w:sz w:val="18"/>
                <w:szCs w:val="18"/>
                <w:lang w:eastAsia="fr-FR"/>
              </w:rPr>
            </w:pPr>
            <w:r w:rsidRPr="00705350">
              <w:rPr>
                <w:rFonts w:eastAsia="Times New Roman" w:cs="Arial"/>
                <w:b/>
                <w:bCs/>
                <w:color w:val="000000"/>
                <w:sz w:val="18"/>
                <w:szCs w:val="18"/>
                <w:lang w:eastAsia="fr-FR"/>
              </w:rPr>
              <w:t xml:space="preserve">(en GCA) </w:t>
            </w:r>
          </w:p>
        </w:tc>
        <w:tc>
          <w:tcPr>
            <w:tcW w:w="3261" w:type="dxa"/>
            <w:gridSpan w:val="2"/>
            <w:tcBorders>
              <w:top w:val="single" w:sz="4" w:space="0" w:color="auto"/>
              <w:left w:val="nil"/>
              <w:bottom w:val="single" w:sz="4" w:space="0" w:color="auto"/>
              <w:right w:val="single" w:sz="4" w:space="0" w:color="auto"/>
            </w:tcBorders>
            <w:shd w:val="clear" w:color="000000" w:fill="FFC000"/>
            <w:vAlign w:val="bottom"/>
            <w:hideMark/>
          </w:tcPr>
          <w:p w14:paraId="0B552B73" w14:textId="2233AA24" w:rsidR="00705350" w:rsidRPr="00705350" w:rsidRDefault="00705350" w:rsidP="00705350">
            <w:pPr>
              <w:spacing w:line="240" w:lineRule="auto"/>
              <w:jc w:val="center"/>
              <w:rPr>
                <w:rFonts w:eastAsia="Times New Roman" w:cs="Arial"/>
                <w:b/>
                <w:bCs/>
                <w:color w:val="000000"/>
                <w:sz w:val="18"/>
                <w:szCs w:val="18"/>
                <w:lang w:eastAsia="fr-FR"/>
              </w:rPr>
            </w:pPr>
            <w:r w:rsidRPr="00705350">
              <w:rPr>
                <w:rFonts w:eastAsia="Times New Roman" w:cs="Arial"/>
                <w:b/>
                <w:bCs/>
                <w:color w:val="000000"/>
                <w:sz w:val="18"/>
                <w:szCs w:val="18"/>
                <w:lang w:eastAsia="fr-FR"/>
              </w:rPr>
              <w:t xml:space="preserve">Part de l'actif total </w:t>
            </w:r>
            <w:r w:rsidR="001326EC" w:rsidRPr="00705350">
              <w:rPr>
                <w:rFonts w:eastAsia="Times New Roman" w:cs="Arial"/>
                <w:b/>
                <w:bCs/>
                <w:color w:val="000000"/>
                <w:sz w:val="18"/>
                <w:szCs w:val="18"/>
                <w:lang w:eastAsia="fr-FR"/>
              </w:rPr>
              <w:t>éligible</w:t>
            </w:r>
            <w:r w:rsidRPr="00705350">
              <w:rPr>
                <w:rFonts w:eastAsia="Times New Roman" w:cs="Arial"/>
                <w:b/>
                <w:bCs/>
                <w:color w:val="000000"/>
                <w:sz w:val="18"/>
                <w:szCs w:val="18"/>
                <w:lang w:eastAsia="fr-FR"/>
              </w:rPr>
              <w:t xml:space="preserve"> à la taxonomie</w:t>
            </w:r>
          </w:p>
        </w:tc>
        <w:tc>
          <w:tcPr>
            <w:tcW w:w="3118" w:type="dxa"/>
            <w:gridSpan w:val="2"/>
            <w:tcBorders>
              <w:top w:val="single" w:sz="4" w:space="0" w:color="auto"/>
              <w:left w:val="nil"/>
              <w:bottom w:val="single" w:sz="4" w:space="0" w:color="auto"/>
              <w:right w:val="single" w:sz="4" w:space="0" w:color="auto"/>
            </w:tcBorders>
            <w:shd w:val="clear" w:color="000000" w:fill="FFC000"/>
            <w:vAlign w:val="bottom"/>
            <w:hideMark/>
          </w:tcPr>
          <w:p w14:paraId="5D70A45B" w14:textId="7A761048" w:rsidR="00705350" w:rsidRPr="00705350" w:rsidRDefault="00705350" w:rsidP="00705350">
            <w:pPr>
              <w:spacing w:line="240" w:lineRule="auto"/>
              <w:jc w:val="center"/>
              <w:rPr>
                <w:rFonts w:eastAsia="Times New Roman" w:cs="Arial"/>
                <w:b/>
                <w:bCs/>
                <w:color w:val="000000"/>
                <w:sz w:val="18"/>
                <w:szCs w:val="18"/>
                <w:lang w:eastAsia="fr-FR"/>
              </w:rPr>
            </w:pPr>
            <w:r w:rsidRPr="00705350">
              <w:rPr>
                <w:rFonts w:eastAsia="Times New Roman" w:cs="Arial"/>
                <w:b/>
                <w:bCs/>
                <w:color w:val="000000"/>
                <w:sz w:val="18"/>
                <w:szCs w:val="18"/>
                <w:lang w:eastAsia="fr-FR"/>
              </w:rPr>
              <w:t xml:space="preserve">Part de l'actif total non </w:t>
            </w:r>
            <w:r w:rsidR="001326EC" w:rsidRPr="00705350">
              <w:rPr>
                <w:rFonts w:eastAsia="Times New Roman" w:cs="Arial"/>
                <w:b/>
                <w:bCs/>
                <w:color w:val="000000"/>
                <w:sz w:val="18"/>
                <w:szCs w:val="18"/>
                <w:lang w:eastAsia="fr-FR"/>
              </w:rPr>
              <w:t>éligible</w:t>
            </w:r>
            <w:r w:rsidRPr="00705350">
              <w:rPr>
                <w:rFonts w:eastAsia="Times New Roman" w:cs="Arial"/>
                <w:b/>
                <w:bCs/>
                <w:color w:val="000000"/>
                <w:sz w:val="18"/>
                <w:szCs w:val="18"/>
                <w:lang w:eastAsia="fr-FR"/>
              </w:rPr>
              <w:t xml:space="preserve"> à la taxonomie</w:t>
            </w:r>
          </w:p>
        </w:tc>
        <w:tc>
          <w:tcPr>
            <w:tcW w:w="1843" w:type="dxa"/>
            <w:tcBorders>
              <w:top w:val="single" w:sz="4" w:space="0" w:color="auto"/>
              <w:left w:val="nil"/>
              <w:bottom w:val="single" w:sz="4" w:space="0" w:color="auto"/>
              <w:right w:val="single" w:sz="4" w:space="0" w:color="auto"/>
            </w:tcBorders>
            <w:shd w:val="clear" w:color="000000" w:fill="FFC000"/>
            <w:vAlign w:val="bottom"/>
            <w:hideMark/>
          </w:tcPr>
          <w:p w14:paraId="455E1F22" w14:textId="77777777" w:rsidR="00705350" w:rsidRPr="00705350" w:rsidRDefault="00705350" w:rsidP="00705350">
            <w:pPr>
              <w:spacing w:line="240" w:lineRule="auto"/>
              <w:jc w:val="center"/>
              <w:rPr>
                <w:rFonts w:eastAsia="Times New Roman" w:cs="Arial"/>
                <w:b/>
                <w:bCs/>
                <w:color w:val="000000"/>
                <w:sz w:val="18"/>
                <w:szCs w:val="18"/>
                <w:lang w:eastAsia="fr-FR"/>
              </w:rPr>
            </w:pPr>
            <w:r w:rsidRPr="00705350">
              <w:rPr>
                <w:rFonts w:eastAsia="Times New Roman" w:cs="Arial"/>
                <w:b/>
                <w:bCs/>
                <w:color w:val="000000"/>
                <w:sz w:val="18"/>
                <w:szCs w:val="18"/>
                <w:lang w:eastAsia="fr-FR"/>
              </w:rPr>
              <w:t>Part Non NFRD</w:t>
            </w:r>
          </w:p>
        </w:tc>
      </w:tr>
      <w:tr w:rsidR="00705350" w:rsidRPr="001326EC" w14:paraId="3B5E02A9" w14:textId="77777777" w:rsidTr="00705350">
        <w:trPr>
          <w:trHeight w:val="31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10636B0" w14:textId="77777777" w:rsidR="00705350" w:rsidRPr="00705350" w:rsidRDefault="00705350" w:rsidP="00705350">
            <w:pPr>
              <w:spacing w:line="240" w:lineRule="auto"/>
              <w:jc w:val="left"/>
              <w:rPr>
                <w:rFonts w:eastAsia="Times New Roman" w:cs="Arial"/>
                <w:b/>
                <w:bCs/>
                <w:color w:val="000000"/>
                <w:sz w:val="18"/>
                <w:szCs w:val="18"/>
                <w:lang w:eastAsia="fr-FR"/>
              </w:rPr>
            </w:pPr>
            <w:r w:rsidRPr="00705350">
              <w:rPr>
                <w:rFonts w:eastAsia="Times New Roman" w:cs="Arial"/>
                <w:b/>
                <w:bCs/>
                <w:color w:val="000000"/>
                <w:sz w:val="18"/>
                <w:szCs w:val="18"/>
                <w:lang w:eastAsia="fr-FR"/>
              </w:rPr>
              <w:t> </w:t>
            </w:r>
          </w:p>
        </w:tc>
        <w:tc>
          <w:tcPr>
            <w:tcW w:w="1560" w:type="dxa"/>
            <w:tcBorders>
              <w:top w:val="single" w:sz="4" w:space="0" w:color="auto"/>
              <w:left w:val="nil"/>
              <w:bottom w:val="single" w:sz="4" w:space="0" w:color="auto"/>
              <w:right w:val="single" w:sz="4" w:space="0" w:color="auto"/>
            </w:tcBorders>
            <w:shd w:val="clear" w:color="000000" w:fill="FFC000"/>
            <w:noWrap/>
            <w:vAlign w:val="bottom"/>
            <w:hideMark/>
          </w:tcPr>
          <w:p w14:paraId="566CC69E" w14:textId="77777777" w:rsidR="00705350" w:rsidRPr="00705350" w:rsidRDefault="00705350" w:rsidP="00705350">
            <w:pPr>
              <w:spacing w:line="240" w:lineRule="auto"/>
              <w:jc w:val="center"/>
              <w:rPr>
                <w:rFonts w:eastAsia="Times New Roman" w:cs="Arial"/>
                <w:b/>
                <w:bCs/>
                <w:color w:val="000000"/>
                <w:sz w:val="18"/>
                <w:szCs w:val="18"/>
                <w:lang w:eastAsia="fr-FR"/>
              </w:rPr>
            </w:pPr>
            <w:r w:rsidRPr="00705350">
              <w:rPr>
                <w:rFonts w:eastAsia="Times New Roman" w:cs="Arial"/>
                <w:b/>
                <w:bCs/>
                <w:color w:val="000000"/>
                <w:sz w:val="18"/>
                <w:szCs w:val="18"/>
                <w:lang w:eastAsia="fr-FR"/>
              </w:rPr>
              <w:t>CA</w:t>
            </w:r>
          </w:p>
        </w:tc>
        <w:tc>
          <w:tcPr>
            <w:tcW w:w="1701" w:type="dxa"/>
            <w:tcBorders>
              <w:top w:val="single" w:sz="4" w:space="0" w:color="auto"/>
              <w:left w:val="nil"/>
              <w:bottom w:val="single" w:sz="4" w:space="0" w:color="auto"/>
              <w:right w:val="single" w:sz="4" w:space="0" w:color="auto"/>
            </w:tcBorders>
            <w:shd w:val="clear" w:color="000000" w:fill="FFC000"/>
            <w:noWrap/>
            <w:vAlign w:val="bottom"/>
            <w:hideMark/>
          </w:tcPr>
          <w:p w14:paraId="260C7C95" w14:textId="77777777" w:rsidR="00705350" w:rsidRPr="00705350" w:rsidRDefault="00705350" w:rsidP="00705350">
            <w:pPr>
              <w:spacing w:line="240" w:lineRule="auto"/>
              <w:jc w:val="center"/>
              <w:rPr>
                <w:rFonts w:eastAsia="Times New Roman" w:cs="Arial"/>
                <w:b/>
                <w:bCs/>
                <w:color w:val="000000"/>
                <w:sz w:val="18"/>
                <w:szCs w:val="18"/>
                <w:lang w:eastAsia="fr-FR"/>
              </w:rPr>
            </w:pPr>
            <w:r w:rsidRPr="00705350">
              <w:rPr>
                <w:rFonts w:eastAsia="Times New Roman" w:cs="Arial"/>
                <w:b/>
                <w:bCs/>
                <w:color w:val="000000"/>
                <w:sz w:val="18"/>
                <w:szCs w:val="18"/>
                <w:lang w:eastAsia="fr-FR"/>
              </w:rPr>
              <w:t>CAPEX</w:t>
            </w:r>
          </w:p>
        </w:tc>
        <w:tc>
          <w:tcPr>
            <w:tcW w:w="1559" w:type="dxa"/>
            <w:tcBorders>
              <w:top w:val="single" w:sz="4" w:space="0" w:color="auto"/>
              <w:left w:val="nil"/>
              <w:bottom w:val="single" w:sz="4" w:space="0" w:color="auto"/>
              <w:right w:val="single" w:sz="4" w:space="0" w:color="auto"/>
            </w:tcBorders>
            <w:shd w:val="clear" w:color="000000" w:fill="FFC000"/>
            <w:noWrap/>
            <w:vAlign w:val="bottom"/>
            <w:hideMark/>
          </w:tcPr>
          <w:p w14:paraId="48142A28" w14:textId="77777777" w:rsidR="00705350" w:rsidRPr="00705350" w:rsidRDefault="00705350" w:rsidP="00705350">
            <w:pPr>
              <w:spacing w:line="240" w:lineRule="auto"/>
              <w:jc w:val="center"/>
              <w:rPr>
                <w:rFonts w:eastAsia="Times New Roman" w:cs="Arial"/>
                <w:b/>
                <w:bCs/>
                <w:color w:val="000000"/>
                <w:sz w:val="18"/>
                <w:szCs w:val="18"/>
                <w:lang w:eastAsia="fr-FR"/>
              </w:rPr>
            </w:pPr>
            <w:r w:rsidRPr="00705350">
              <w:rPr>
                <w:rFonts w:eastAsia="Times New Roman" w:cs="Arial"/>
                <w:b/>
                <w:bCs/>
                <w:color w:val="000000"/>
                <w:sz w:val="18"/>
                <w:szCs w:val="18"/>
                <w:lang w:eastAsia="fr-FR"/>
              </w:rPr>
              <w:t>CA</w:t>
            </w:r>
          </w:p>
        </w:tc>
        <w:tc>
          <w:tcPr>
            <w:tcW w:w="1559" w:type="dxa"/>
            <w:tcBorders>
              <w:top w:val="single" w:sz="4" w:space="0" w:color="auto"/>
              <w:left w:val="nil"/>
              <w:bottom w:val="single" w:sz="4" w:space="0" w:color="auto"/>
              <w:right w:val="single" w:sz="4" w:space="0" w:color="auto"/>
            </w:tcBorders>
            <w:shd w:val="clear" w:color="000000" w:fill="FFC000"/>
            <w:noWrap/>
            <w:vAlign w:val="bottom"/>
            <w:hideMark/>
          </w:tcPr>
          <w:p w14:paraId="48A22C0E" w14:textId="77777777" w:rsidR="00705350" w:rsidRPr="00705350" w:rsidRDefault="00705350" w:rsidP="00705350">
            <w:pPr>
              <w:spacing w:line="240" w:lineRule="auto"/>
              <w:jc w:val="center"/>
              <w:rPr>
                <w:rFonts w:eastAsia="Times New Roman" w:cs="Arial"/>
                <w:b/>
                <w:bCs/>
                <w:color w:val="000000"/>
                <w:sz w:val="18"/>
                <w:szCs w:val="18"/>
                <w:lang w:eastAsia="fr-FR"/>
              </w:rPr>
            </w:pPr>
            <w:r w:rsidRPr="00705350">
              <w:rPr>
                <w:rFonts w:eastAsia="Times New Roman" w:cs="Arial"/>
                <w:b/>
                <w:bCs/>
                <w:color w:val="000000"/>
                <w:sz w:val="18"/>
                <w:szCs w:val="18"/>
                <w:lang w:eastAsia="fr-FR"/>
              </w:rPr>
              <w:t>CAPEX</w:t>
            </w:r>
          </w:p>
        </w:tc>
        <w:tc>
          <w:tcPr>
            <w:tcW w:w="1843" w:type="dxa"/>
            <w:tcBorders>
              <w:top w:val="nil"/>
              <w:left w:val="nil"/>
              <w:bottom w:val="single" w:sz="4" w:space="0" w:color="auto"/>
              <w:right w:val="single" w:sz="4" w:space="0" w:color="auto"/>
            </w:tcBorders>
            <w:shd w:val="clear" w:color="000000" w:fill="FFC000"/>
            <w:noWrap/>
            <w:vAlign w:val="bottom"/>
            <w:hideMark/>
          </w:tcPr>
          <w:p w14:paraId="1080E1AA" w14:textId="77777777" w:rsidR="00705350" w:rsidRPr="00705350" w:rsidRDefault="00705350" w:rsidP="00705350">
            <w:pPr>
              <w:spacing w:line="240" w:lineRule="auto"/>
              <w:jc w:val="center"/>
              <w:rPr>
                <w:rFonts w:eastAsia="Times New Roman" w:cs="Arial"/>
                <w:b/>
                <w:bCs/>
                <w:color w:val="000000"/>
                <w:sz w:val="18"/>
                <w:szCs w:val="18"/>
                <w:lang w:eastAsia="fr-FR"/>
              </w:rPr>
            </w:pPr>
            <w:r w:rsidRPr="00705350">
              <w:rPr>
                <w:rFonts w:eastAsia="Times New Roman" w:cs="Arial"/>
                <w:b/>
                <w:bCs/>
                <w:color w:val="000000"/>
                <w:sz w:val="18"/>
                <w:szCs w:val="18"/>
                <w:lang w:eastAsia="fr-FR"/>
              </w:rPr>
              <w:t> </w:t>
            </w:r>
          </w:p>
        </w:tc>
      </w:tr>
      <w:tr w:rsidR="00705350" w:rsidRPr="001326EC" w14:paraId="72298726" w14:textId="77777777" w:rsidTr="00705350">
        <w:trPr>
          <w:trHeight w:val="31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098E750" w14:textId="12D23A7F" w:rsidR="00705350" w:rsidRPr="00705350" w:rsidRDefault="00705350" w:rsidP="00705350">
            <w:pPr>
              <w:spacing w:line="240" w:lineRule="auto"/>
              <w:jc w:val="left"/>
              <w:rPr>
                <w:rFonts w:eastAsia="Times New Roman" w:cs="Arial"/>
                <w:color w:val="000000"/>
                <w:sz w:val="18"/>
                <w:szCs w:val="18"/>
                <w:lang w:eastAsia="fr-FR"/>
              </w:rPr>
            </w:pPr>
            <w:r w:rsidRPr="00705350">
              <w:rPr>
                <w:rFonts w:eastAsia="Times New Roman" w:cs="Arial"/>
                <w:color w:val="000000"/>
                <w:sz w:val="18"/>
                <w:szCs w:val="18"/>
                <w:lang w:eastAsia="fr-FR"/>
              </w:rPr>
              <w:t xml:space="preserve">Numérateur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4EE9A57" w14:textId="45C612D3" w:rsidR="00705350" w:rsidRPr="00705350" w:rsidRDefault="00705350" w:rsidP="00705350">
            <w:pPr>
              <w:spacing w:line="240" w:lineRule="auto"/>
              <w:jc w:val="center"/>
              <w:rPr>
                <w:rFonts w:eastAsia="Times New Roman" w:cs="Arial"/>
                <w:color w:val="000000"/>
                <w:sz w:val="18"/>
                <w:szCs w:val="18"/>
                <w:lang w:eastAsia="fr-FR"/>
              </w:rPr>
            </w:pPr>
            <w:r w:rsidRPr="00705350">
              <w:rPr>
                <w:rFonts w:eastAsia="Times New Roman" w:cs="Arial"/>
                <w:color w:val="000000"/>
                <w:sz w:val="18"/>
                <w:szCs w:val="18"/>
                <w:lang w:eastAsia="fr-FR"/>
              </w:rPr>
              <w:t xml:space="preserve">3 373 262 826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0A3D0DF" w14:textId="781962EA" w:rsidR="00705350" w:rsidRPr="00705350" w:rsidRDefault="00705350" w:rsidP="00705350">
            <w:pPr>
              <w:spacing w:line="240" w:lineRule="auto"/>
              <w:jc w:val="center"/>
              <w:rPr>
                <w:rFonts w:eastAsia="Times New Roman" w:cs="Arial"/>
                <w:color w:val="000000"/>
                <w:sz w:val="18"/>
                <w:szCs w:val="18"/>
                <w:lang w:eastAsia="fr-FR"/>
              </w:rPr>
            </w:pPr>
            <w:r w:rsidRPr="00705350">
              <w:rPr>
                <w:rFonts w:eastAsia="Times New Roman" w:cs="Arial"/>
                <w:color w:val="000000"/>
                <w:sz w:val="18"/>
                <w:szCs w:val="18"/>
                <w:lang w:eastAsia="fr-FR"/>
              </w:rPr>
              <w:t xml:space="preserve">3 673 415 147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790EFF9" w14:textId="11D320B8" w:rsidR="00705350" w:rsidRPr="00705350" w:rsidRDefault="00705350" w:rsidP="00705350">
            <w:pPr>
              <w:spacing w:line="240" w:lineRule="auto"/>
              <w:jc w:val="center"/>
              <w:rPr>
                <w:rFonts w:eastAsia="Times New Roman" w:cs="Arial"/>
                <w:color w:val="000000"/>
                <w:sz w:val="18"/>
                <w:szCs w:val="18"/>
                <w:lang w:eastAsia="fr-FR"/>
              </w:rPr>
            </w:pPr>
            <w:r w:rsidRPr="00705350">
              <w:rPr>
                <w:rFonts w:eastAsia="Times New Roman" w:cs="Arial"/>
                <w:color w:val="000000"/>
                <w:sz w:val="18"/>
                <w:szCs w:val="18"/>
                <w:lang w:eastAsia="fr-FR"/>
              </w:rPr>
              <w:t xml:space="preserve">5 280 138 452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E531220" w14:textId="7FAD0904" w:rsidR="00705350" w:rsidRPr="00705350" w:rsidRDefault="00705350" w:rsidP="00705350">
            <w:pPr>
              <w:spacing w:line="240" w:lineRule="auto"/>
              <w:jc w:val="center"/>
              <w:rPr>
                <w:rFonts w:eastAsia="Times New Roman" w:cs="Arial"/>
                <w:color w:val="000000"/>
                <w:sz w:val="18"/>
                <w:szCs w:val="18"/>
                <w:lang w:eastAsia="fr-FR"/>
              </w:rPr>
            </w:pPr>
            <w:r w:rsidRPr="00705350">
              <w:rPr>
                <w:rFonts w:eastAsia="Times New Roman" w:cs="Arial"/>
                <w:color w:val="000000"/>
                <w:sz w:val="18"/>
                <w:szCs w:val="18"/>
                <w:lang w:eastAsia="fr-FR"/>
              </w:rPr>
              <w:t xml:space="preserve">4 979 986 131 </w:t>
            </w:r>
          </w:p>
        </w:tc>
        <w:tc>
          <w:tcPr>
            <w:tcW w:w="1843" w:type="dxa"/>
            <w:tcBorders>
              <w:top w:val="nil"/>
              <w:left w:val="nil"/>
              <w:bottom w:val="single" w:sz="4" w:space="0" w:color="auto"/>
              <w:right w:val="single" w:sz="4" w:space="0" w:color="auto"/>
            </w:tcBorders>
            <w:shd w:val="clear" w:color="auto" w:fill="auto"/>
            <w:noWrap/>
            <w:vAlign w:val="bottom"/>
            <w:hideMark/>
          </w:tcPr>
          <w:p w14:paraId="03EB3A55" w14:textId="55AEE919" w:rsidR="00705350" w:rsidRPr="00705350" w:rsidRDefault="00705350" w:rsidP="00705350">
            <w:pPr>
              <w:spacing w:line="240" w:lineRule="auto"/>
              <w:jc w:val="center"/>
              <w:rPr>
                <w:rFonts w:eastAsia="Times New Roman" w:cs="Arial"/>
                <w:color w:val="000000"/>
                <w:sz w:val="18"/>
                <w:szCs w:val="18"/>
                <w:lang w:eastAsia="fr-FR"/>
              </w:rPr>
            </w:pPr>
            <w:r w:rsidRPr="00705350">
              <w:rPr>
                <w:rFonts w:eastAsia="Times New Roman" w:cs="Arial"/>
                <w:color w:val="000000"/>
                <w:sz w:val="18"/>
                <w:szCs w:val="18"/>
                <w:lang w:eastAsia="fr-FR"/>
              </w:rPr>
              <w:t xml:space="preserve">15 328 909 494 </w:t>
            </w:r>
          </w:p>
        </w:tc>
      </w:tr>
      <w:tr w:rsidR="00705350" w:rsidRPr="00705350" w14:paraId="06EEAC1A" w14:textId="77777777" w:rsidTr="00705350">
        <w:trPr>
          <w:trHeight w:val="31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E32A674" w14:textId="77777777" w:rsidR="00705350" w:rsidRPr="00705350" w:rsidRDefault="00705350" w:rsidP="00705350">
            <w:pPr>
              <w:spacing w:line="240" w:lineRule="auto"/>
              <w:jc w:val="left"/>
              <w:rPr>
                <w:rFonts w:eastAsia="Times New Roman" w:cs="Arial"/>
                <w:color w:val="000000"/>
                <w:sz w:val="18"/>
                <w:szCs w:val="18"/>
                <w:lang w:eastAsia="fr-FR"/>
              </w:rPr>
            </w:pPr>
            <w:r w:rsidRPr="00705350">
              <w:rPr>
                <w:rFonts w:eastAsia="Times New Roman" w:cs="Arial"/>
                <w:color w:val="000000"/>
                <w:sz w:val="18"/>
                <w:szCs w:val="18"/>
                <w:lang w:eastAsia="fr-FR"/>
              </w:rPr>
              <w:t>Dénominateur</w:t>
            </w:r>
          </w:p>
        </w:tc>
        <w:tc>
          <w:tcPr>
            <w:tcW w:w="822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288E7A" w14:textId="00F4AE10" w:rsidR="00705350" w:rsidRPr="00705350" w:rsidRDefault="00705350" w:rsidP="00705350">
            <w:pPr>
              <w:spacing w:line="240" w:lineRule="auto"/>
              <w:jc w:val="center"/>
              <w:rPr>
                <w:rFonts w:eastAsia="Times New Roman" w:cs="Arial"/>
                <w:color w:val="000000"/>
                <w:sz w:val="18"/>
                <w:szCs w:val="18"/>
                <w:lang w:eastAsia="fr-FR"/>
              </w:rPr>
            </w:pPr>
            <w:r w:rsidRPr="00705350">
              <w:rPr>
                <w:rFonts w:eastAsia="Times New Roman" w:cs="Arial"/>
                <w:color w:val="000000"/>
                <w:sz w:val="18"/>
                <w:szCs w:val="18"/>
                <w:lang w:eastAsia="fr-FR"/>
              </w:rPr>
              <w:t xml:space="preserve">24 126 937 451 </w:t>
            </w:r>
          </w:p>
        </w:tc>
      </w:tr>
      <w:tr w:rsidR="00705350" w:rsidRPr="001326EC" w14:paraId="06FE2F27" w14:textId="77777777" w:rsidTr="00705350">
        <w:trPr>
          <w:trHeight w:val="31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D4D0364" w14:textId="77777777" w:rsidR="00705350" w:rsidRPr="00705350" w:rsidRDefault="00705350" w:rsidP="00705350">
            <w:pPr>
              <w:spacing w:line="240" w:lineRule="auto"/>
              <w:jc w:val="left"/>
              <w:rPr>
                <w:rFonts w:eastAsia="Times New Roman" w:cs="Arial"/>
                <w:color w:val="000000"/>
                <w:sz w:val="18"/>
                <w:szCs w:val="18"/>
                <w:lang w:eastAsia="fr-FR"/>
              </w:rPr>
            </w:pPr>
            <w:r w:rsidRPr="00705350">
              <w:rPr>
                <w:rFonts w:eastAsia="Times New Roman" w:cs="Arial"/>
                <w:color w:val="000000"/>
                <w:sz w:val="18"/>
                <w:szCs w:val="18"/>
                <w:lang w:eastAsia="fr-FR"/>
              </w:rPr>
              <w:t>Ratio</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E87D1AB" w14:textId="77777777" w:rsidR="00705350" w:rsidRPr="00705350" w:rsidRDefault="00705350" w:rsidP="00705350">
            <w:pPr>
              <w:spacing w:line="240" w:lineRule="auto"/>
              <w:jc w:val="center"/>
              <w:rPr>
                <w:rFonts w:eastAsia="Times New Roman" w:cs="Arial"/>
                <w:color w:val="000000"/>
                <w:sz w:val="18"/>
                <w:szCs w:val="18"/>
                <w:lang w:eastAsia="fr-FR"/>
              </w:rPr>
            </w:pPr>
            <w:r w:rsidRPr="00705350">
              <w:rPr>
                <w:rFonts w:eastAsia="Times New Roman" w:cs="Arial"/>
                <w:color w:val="000000"/>
                <w:sz w:val="18"/>
                <w:szCs w:val="18"/>
                <w:lang w:eastAsia="fr-FR"/>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B836BC2" w14:textId="77777777" w:rsidR="00705350" w:rsidRPr="00705350" w:rsidRDefault="00705350" w:rsidP="00705350">
            <w:pPr>
              <w:spacing w:line="240" w:lineRule="auto"/>
              <w:jc w:val="center"/>
              <w:rPr>
                <w:rFonts w:eastAsia="Times New Roman" w:cs="Arial"/>
                <w:color w:val="000000"/>
                <w:sz w:val="18"/>
                <w:szCs w:val="18"/>
                <w:lang w:eastAsia="fr-FR"/>
              </w:rPr>
            </w:pPr>
            <w:r w:rsidRPr="00705350">
              <w:rPr>
                <w:rFonts w:eastAsia="Times New Roman" w:cs="Arial"/>
                <w:color w:val="000000"/>
                <w:sz w:val="18"/>
                <w:szCs w:val="18"/>
                <w:lang w:eastAsia="fr-FR"/>
              </w:rPr>
              <w:t>15%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BC9B4C4" w14:textId="77777777" w:rsidR="00705350" w:rsidRPr="00705350" w:rsidRDefault="00705350" w:rsidP="00705350">
            <w:pPr>
              <w:spacing w:line="240" w:lineRule="auto"/>
              <w:jc w:val="center"/>
              <w:rPr>
                <w:rFonts w:eastAsia="Times New Roman" w:cs="Arial"/>
                <w:color w:val="000000"/>
                <w:sz w:val="18"/>
                <w:szCs w:val="18"/>
                <w:lang w:eastAsia="fr-FR"/>
              </w:rPr>
            </w:pPr>
            <w:r w:rsidRPr="00705350">
              <w:rPr>
                <w:rFonts w:eastAsia="Times New Roman" w:cs="Arial"/>
                <w:color w:val="000000"/>
                <w:sz w:val="18"/>
                <w:szCs w:val="18"/>
                <w:lang w:eastAsia="fr-FR"/>
              </w:rPr>
              <w:t>22%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4287B07" w14:textId="77777777" w:rsidR="00705350" w:rsidRPr="00705350" w:rsidRDefault="00705350" w:rsidP="00705350">
            <w:pPr>
              <w:spacing w:line="240" w:lineRule="auto"/>
              <w:jc w:val="center"/>
              <w:rPr>
                <w:rFonts w:eastAsia="Times New Roman" w:cs="Arial"/>
                <w:color w:val="000000"/>
                <w:sz w:val="18"/>
                <w:szCs w:val="18"/>
                <w:lang w:eastAsia="fr-FR"/>
              </w:rPr>
            </w:pPr>
            <w:r w:rsidRPr="00705350">
              <w:rPr>
                <w:rFonts w:eastAsia="Times New Roman" w:cs="Arial"/>
                <w:color w:val="000000"/>
                <w:sz w:val="18"/>
                <w:szCs w:val="18"/>
                <w:lang w:eastAsia="fr-FR"/>
              </w:rPr>
              <w:t>21%</w:t>
            </w:r>
          </w:p>
        </w:tc>
        <w:tc>
          <w:tcPr>
            <w:tcW w:w="1843" w:type="dxa"/>
            <w:tcBorders>
              <w:top w:val="nil"/>
              <w:left w:val="nil"/>
              <w:bottom w:val="single" w:sz="4" w:space="0" w:color="auto"/>
              <w:right w:val="single" w:sz="4" w:space="0" w:color="auto"/>
            </w:tcBorders>
            <w:shd w:val="clear" w:color="auto" w:fill="auto"/>
            <w:noWrap/>
            <w:vAlign w:val="bottom"/>
            <w:hideMark/>
          </w:tcPr>
          <w:p w14:paraId="40047B62" w14:textId="77777777" w:rsidR="00705350" w:rsidRPr="00705350" w:rsidRDefault="00705350" w:rsidP="00705350">
            <w:pPr>
              <w:spacing w:line="240" w:lineRule="auto"/>
              <w:jc w:val="center"/>
              <w:rPr>
                <w:rFonts w:eastAsia="Times New Roman" w:cs="Arial"/>
                <w:color w:val="000000"/>
                <w:sz w:val="18"/>
                <w:szCs w:val="18"/>
                <w:lang w:eastAsia="fr-FR"/>
              </w:rPr>
            </w:pPr>
            <w:r w:rsidRPr="00705350">
              <w:rPr>
                <w:rFonts w:eastAsia="Times New Roman" w:cs="Arial"/>
                <w:color w:val="000000"/>
                <w:sz w:val="18"/>
                <w:szCs w:val="18"/>
                <w:lang w:eastAsia="fr-FR"/>
              </w:rPr>
              <w:t>64%</w:t>
            </w:r>
          </w:p>
        </w:tc>
      </w:tr>
    </w:tbl>
    <w:p w14:paraId="3416B250" w14:textId="6F518D15" w:rsidR="00705350" w:rsidRPr="001326EC" w:rsidRDefault="001326EC" w:rsidP="001326EC">
      <w:pPr>
        <w:rPr>
          <w:sz w:val="16"/>
          <w:szCs w:val="16"/>
        </w:rPr>
      </w:pPr>
      <w:r>
        <w:rPr>
          <w:sz w:val="16"/>
          <w:szCs w:val="16"/>
        </w:rPr>
        <w:t>GCA :</w:t>
      </w:r>
      <w:r w:rsidR="00C47AC8" w:rsidRPr="001326EC">
        <w:rPr>
          <w:sz w:val="16"/>
          <w:szCs w:val="16"/>
        </w:rPr>
        <w:t xml:space="preserve"> </w:t>
      </w:r>
      <w:r w:rsidR="00C47AC8" w:rsidRPr="001326EC">
        <w:rPr>
          <w:i/>
          <w:iCs/>
          <w:sz w:val="16"/>
          <w:szCs w:val="16"/>
          <w:lang w:val="en-US"/>
        </w:rPr>
        <w:t xml:space="preserve">Gross Carrying </w:t>
      </w:r>
      <w:r w:rsidRPr="001326EC">
        <w:rPr>
          <w:i/>
          <w:iCs/>
          <w:sz w:val="16"/>
          <w:szCs w:val="16"/>
          <w:lang w:val="en-US"/>
        </w:rPr>
        <w:t>A</w:t>
      </w:r>
      <w:r w:rsidR="00C47AC8" w:rsidRPr="001326EC">
        <w:rPr>
          <w:i/>
          <w:iCs/>
          <w:sz w:val="16"/>
          <w:szCs w:val="16"/>
          <w:lang w:val="en-US"/>
        </w:rPr>
        <w:t>mount</w:t>
      </w:r>
    </w:p>
    <w:p w14:paraId="657A24A5" w14:textId="77777777" w:rsidR="00705350" w:rsidRDefault="00705350" w:rsidP="00C60ECA">
      <w:pPr>
        <w:spacing w:after="160" w:line="259" w:lineRule="auto"/>
        <w:jc w:val="left"/>
        <w:rPr>
          <w:b/>
          <w:bCs/>
        </w:rPr>
      </w:pPr>
    </w:p>
    <w:p w14:paraId="546030BC" w14:textId="77777777" w:rsidR="00705350" w:rsidRDefault="00705350" w:rsidP="00C60ECA">
      <w:pPr>
        <w:spacing w:after="160" w:line="259" w:lineRule="auto"/>
        <w:jc w:val="left"/>
        <w:rPr>
          <w:b/>
          <w:bCs/>
        </w:rPr>
      </w:pPr>
    </w:p>
    <w:p w14:paraId="5C30BC57" w14:textId="60A1228E" w:rsidR="00C60ECA" w:rsidRPr="00D54651" w:rsidRDefault="00C60ECA" w:rsidP="00306121">
      <w:pPr>
        <w:pStyle w:val="Titre2"/>
      </w:pPr>
      <w:bookmarkStart w:id="44" w:name="_Toc132901988"/>
      <w:bookmarkStart w:id="45" w:name="_Toc139042736"/>
      <w:r w:rsidRPr="00D54651">
        <w:t>Part des encours dans des entreprises actives dans le secteur des combustibles fossiles</w:t>
      </w:r>
      <w:bookmarkEnd w:id="44"/>
      <w:bookmarkEnd w:id="45"/>
    </w:p>
    <w:p w14:paraId="5A95E68A" w14:textId="6EED9048" w:rsidR="00943250" w:rsidRDefault="00C9112A" w:rsidP="0069267D">
      <w:pPr>
        <w:spacing w:after="120"/>
        <w:rPr>
          <w:bCs/>
        </w:rPr>
      </w:pPr>
      <w:r>
        <w:rPr>
          <w:bCs/>
        </w:rPr>
        <w:t xml:space="preserve">Au 31 décembre 2022, Bpifrance </w:t>
      </w:r>
      <w:r w:rsidR="00324F42">
        <w:rPr>
          <w:bCs/>
        </w:rPr>
        <w:t xml:space="preserve">Investissement </w:t>
      </w:r>
      <w:r w:rsidR="00953CD7">
        <w:rPr>
          <w:bCs/>
        </w:rPr>
        <w:t>ne détient dans ses</w:t>
      </w:r>
      <w:r w:rsidR="00465B5C">
        <w:rPr>
          <w:bCs/>
        </w:rPr>
        <w:t xml:space="preserve"> portefeuille</w:t>
      </w:r>
      <w:r w:rsidR="00953CD7">
        <w:rPr>
          <w:bCs/>
        </w:rPr>
        <w:t>s aucune entreprise</w:t>
      </w:r>
      <w:r w:rsidR="00465B5C">
        <w:rPr>
          <w:bCs/>
        </w:rPr>
        <w:t xml:space="preserve"> présente dans l’une ou l</w:t>
      </w:r>
      <w:r w:rsidR="00943250">
        <w:rPr>
          <w:bCs/>
        </w:rPr>
        <w:t xml:space="preserve">’autre des listes </w:t>
      </w:r>
      <w:r w:rsidR="00460F53" w:rsidRPr="00460F53">
        <w:rPr>
          <w:bCs/>
        </w:rPr>
        <w:t>GOGEL</w:t>
      </w:r>
      <w:r w:rsidR="00460F53">
        <w:rPr>
          <w:bCs/>
        </w:rPr>
        <w:t xml:space="preserve"> </w:t>
      </w:r>
      <w:r w:rsidR="00460F53" w:rsidRPr="00460F53">
        <w:rPr>
          <w:bCs/>
        </w:rPr>
        <w:t>(</w:t>
      </w:r>
      <w:r w:rsidR="00460F53" w:rsidRPr="009C5D4F">
        <w:rPr>
          <w:bCs/>
          <w:i/>
          <w:iCs/>
        </w:rPr>
        <w:t>Global Oil &amp; Gas Exit List</w:t>
      </w:r>
      <w:r w:rsidR="00460F53" w:rsidRPr="00460F53">
        <w:rPr>
          <w:bCs/>
        </w:rPr>
        <w:t>)</w:t>
      </w:r>
      <w:r w:rsidR="009870A6">
        <w:rPr>
          <w:bCs/>
        </w:rPr>
        <w:t xml:space="preserve"> ou </w:t>
      </w:r>
      <w:r w:rsidR="0069267D">
        <w:rPr>
          <w:bCs/>
        </w:rPr>
        <w:t>GCEL (</w:t>
      </w:r>
      <w:r w:rsidR="0069267D" w:rsidRPr="009C5D4F">
        <w:rPr>
          <w:bCs/>
          <w:i/>
          <w:iCs/>
        </w:rPr>
        <w:t>Global Coal Exit list</w:t>
      </w:r>
      <w:r w:rsidR="0069267D">
        <w:rPr>
          <w:bCs/>
        </w:rPr>
        <w:t>)</w:t>
      </w:r>
      <w:r w:rsidR="00460F53" w:rsidRPr="00460F53">
        <w:rPr>
          <w:bCs/>
        </w:rPr>
        <w:t xml:space="preserve"> de l’ONG Allemande </w:t>
      </w:r>
      <w:r w:rsidR="00460F53" w:rsidRPr="009C5D4F">
        <w:rPr>
          <w:bCs/>
          <w:i/>
          <w:iCs/>
        </w:rPr>
        <w:t>Urgewald</w:t>
      </w:r>
      <w:r w:rsidR="009C5D4F">
        <w:rPr>
          <w:bCs/>
        </w:rPr>
        <w:t>, laquelle fait référence dans le secteur financier</w:t>
      </w:r>
      <w:r w:rsidR="00460F53" w:rsidRPr="00460F53">
        <w:rPr>
          <w:bCs/>
        </w:rPr>
        <w:t>.</w:t>
      </w:r>
    </w:p>
    <w:p w14:paraId="3AAA2F33" w14:textId="542E56D2" w:rsidR="00C60ECA" w:rsidRPr="001A1306" w:rsidRDefault="00905ADB" w:rsidP="00C60ECA">
      <w:pPr>
        <w:spacing w:after="120"/>
        <w:rPr>
          <w:bCs/>
        </w:rPr>
      </w:pPr>
      <w:r w:rsidRPr="001A1306">
        <w:rPr>
          <w:bCs/>
        </w:rPr>
        <w:t>Seul</w:t>
      </w:r>
      <w:r w:rsidR="001A1306" w:rsidRPr="001A1306">
        <w:rPr>
          <w:bCs/>
        </w:rPr>
        <w:t xml:space="preserve"> </w:t>
      </w:r>
      <w:r w:rsidRPr="001A1306">
        <w:rPr>
          <w:bCs/>
        </w:rPr>
        <w:t>0,6% de son actif total</w:t>
      </w:r>
      <w:r w:rsidR="002E6395" w:rsidRPr="001A1306">
        <w:rPr>
          <w:bCs/>
        </w:rPr>
        <w:t xml:space="preserve"> </w:t>
      </w:r>
      <w:r w:rsidR="005802CA">
        <w:rPr>
          <w:bCs/>
        </w:rPr>
        <w:t xml:space="preserve">peut être relié au secteur des énergies fossiles. </w:t>
      </w:r>
      <w:r w:rsidR="004E6ED3" w:rsidRPr="001A1306">
        <w:rPr>
          <w:bCs/>
        </w:rPr>
        <w:t xml:space="preserve">Ces </w:t>
      </w:r>
      <w:r w:rsidR="0081028D" w:rsidRPr="001A1306">
        <w:rPr>
          <w:bCs/>
        </w:rPr>
        <w:t xml:space="preserve">investissements concernent deux entreprises : l’une dans le domaine de la production </w:t>
      </w:r>
      <w:r w:rsidR="009050C0" w:rsidRPr="001A1306">
        <w:rPr>
          <w:bCs/>
        </w:rPr>
        <w:t>électrique</w:t>
      </w:r>
      <w:r w:rsidR="00B56B04" w:rsidRPr="001A1306">
        <w:rPr>
          <w:bCs/>
        </w:rPr>
        <w:t xml:space="preserve"> ayant encore une partie de sa production utilisant le charbon (en cours de conversion totale vers la biomasse d’ici 2025, en accord avec nos politiques</w:t>
      </w:r>
      <w:r w:rsidR="005A6BAD" w:rsidRPr="001A1306">
        <w:rPr>
          <w:bCs/>
        </w:rPr>
        <w:t xml:space="preserve"> charbon et notre engagement envers les accords de Paris) ; l’autre dans le secteur de l’ingénierie et des services</w:t>
      </w:r>
      <w:r w:rsidR="00892441" w:rsidRPr="001A1306">
        <w:rPr>
          <w:bCs/>
        </w:rPr>
        <w:t xml:space="preserve"> technologiques pour le </w:t>
      </w:r>
      <w:r w:rsidR="009050C0" w:rsidRPr="001A1306">
        <w:rPr>
          <w:bCs/>
        </w:rPr>
        <w:t>secteur</w:t>
      </w:r>
      <w:r w:rsidR="00892441" w:rsidRPr="001A1306">
        <w:rPr>
          <w:bCs/>
        </w:rPr>
        <w:t xml:space="preserve"> de l’</w:t>
      </w:r>
      <w:r w:rsidR="009050C0" w:rsidRPr="001A1306">
        <w:rPr>
          <w:bCs/>
        </w:rPr>
        <w:t>énergie</w:t>
      </w:r>
      <w:r w:rsidR="00892441" w:rsidRPr="001A1306">
        <w:rPr>
          <w:bCs/>
        </w:rPr>
        <w:t xml:space="preserve">, pouvant inclure des </w:t>
      </w:r>
      <w:r w:rsidR="009050C0" w:rsidRPr="001A1306">
        <w:rPr>
          <w:bCs/>
        </w:rPr>
        <w:t>énergies</w:t>
      </w:r>
      <w:r w:rsidR="00892441" w:rsidRPr="001A1306">
        <w:rPr>
          <w:bCs/>
        </w:rPr>
        <w:t xml:space="preserve"> </w:t>
      </w:r>
      <w:r w:rsidR="009050C0" w:rsidRPr="001A1306">
        <w:rPr>
          <w:bCs/>
        </w:rPr>
        <w:t xml:space="preserve">fossiles (entreprise </w:t>
      </w:r>
      <w:r w:rsidR="00363063" w:rsidRPr="001A1306">
        <w:rPr>
          <w:bCs/>
        </w:rPr>
        <w:t>pivotant vers les énergies renouvelables et les solutions de décarbonation industrielles)</w:t>
      </w:r>
      <w:r w:rsidR="00362621" w:rsidRPr="001A1306">
        <w:rPr>
          <w:bCs/>
        </w:rPr>
        <w:t>.</w:t>
      </w:r>
    </w:p>
    <w:p w14:paraId="7F580449" w14:textId="1ABF6607" w:rsidR="00C60ECA" w:rsidRDefault="00C60ECA" w:rsidP="005D6CF0"/>
    <w:p w14:paraId="5B1A7F33" w14:textId="10BBA5F5" w:rsidR="00C60ECA" w:rsidRDefault="00C60ECA" w:rsidP="00306121">
      <w:pPr>
        <w:pStyle w:val="Titre1"/>
      </w:pPr>
      <w:bookmarkStart w:id="46" w:name="_Toc132901989"/>
      <w:bookmarkStart w:id="47" w:name="_Toc139042737"/>
      <w:r>
        <w:lastRenderedPageBreak/>
        <w:t>S</w:t>
      </w:r>
      <w:r w:rsidR="000633E9">
        <w:t>tratégie d’ali</w:t>
      </w:r>
      <w:r>
        <w:t xml:space="preserve">gnement avec des objectifs de l'accord de </w:t>
      </w:r>
      <w:r w:rsidR="00697A2D">
        <w:t>P</w:t>
      </w:r>
      <w:r>
        <w:t xml:space="preserve">aris </w:t>
      </w:r>
      <w:bookmarkEnd w:id="46"/>
      <w:r w:rsidR="008072D8">
        <w:t>sur le climat</w:t>
      </w:r>
      <w:bookmarkEnd w:id="47"/>
    </w:p>
    <w:p w14:paraId="410C3EC4" w14:textId="7898957F" w:rsidR="00111373" w:rsidRDefault="00C60ECA" w:rsidP="00C60ECA">
      <w:pPr>
        <w:rPr>
          <w:rFonts w:cstheme="minorHAnsi"/>
        </w:rPr>
      </w:pPr>
      <w:r w:rsidRPr="000A42AB">
        <w:rPr>
          <w:rFonts w:cstheme="minorHAnsi"/>
        </w:rPr>
        <w:t>Bpifrance accompagne et soutient la transition écologique et énergétique des entreprises, dans la continuité des précédentes entités</w:t>
      </w:r>
      <w:r w:rsidR="00326BA2">
        <w:rPr>
          <w:rFonts w:cstheme="minorHAnsi"/>
        </w:rPr>
        <w:t xml:space="preserve"> historiques du groupe</w:t>
      </w:r>
      <w:r w:rsidRPr="000A42AB">
        <w:rPr>
          <w:rFonts w:cstheme="minorHAnsi"/>
        </w:rPr>
        <w:t>.</w:t>
      </w:r>
      <w:r w:rsidR="00111373" w:rsidRPr="00111373">
        <w:rPr>
          <w:rFonts w:cstheme="minorHAnsi"/>
        </w:rPr>
        <w:t xml:space="preserve"> </w:t>
      </w:r>
    </w:p>
    <w:p w14:paraId="50980CB4" w14:textId="77777777" w:rsidR="00111373" w:rsidRDefault="00111373" w:rsidP="00C60ECA">
      <w:pPr>
        <w:rPr>
          <w:rFonts w:cstheme="minorHAnsi"/>
        </w:rPr>
      </w:pPr>
    </w:p>
    <w:p w14:paraId="6FADEA33" w14:textId="7F9B9BA4" w:rsidR="00BB3531" w:rsidRDefault="00111373" w:rsidP="00BB3531">
      <w:pPr>
        <w:spacing w:after="120"/>
      </w:pPr>
      <w:r w:rsidRPr="000A42AB">
        <w:rPr>
          <w:rFonts w:cstheme="minorHAnsi"/>
        </w:rPr>
        <w:t xml:space="preserve">Le Plan Climat </w:t>
      </w:r>
      <w:r>
        <w:rPr>
          <w:rFonts w:cstheme="minorHAnsi"/>
        </w:rPr>
        <w:t xml:space="preserve">de Bpifrance </w:t>
      </w:r>
      <w:r w:rsidRPr="000A42AB">
        <w:rPr>
          <w:rFonts w:cstheme="minorHAnsi"/>
        </w:rPr>
        <w:t xml:space="preserve">renforce les ambitions </w:t>
      </w:r>
      <w:r>
        <w:rPr>
          <w:rFonts w:cstheme="minorHAnsi"/>
        </w:rPr>
        <w:t xml:space="preserve">du groupe </w:t>
      </w:r>
      <w:r w:rsidRPr="000A42AB">
        <w:rPr>
          <w:rFonts w:cstheme="minorHAnsi"/>
        </w:rPr>
        <w:t>de répondre aux enjeux d’atténuation et d’adaptation au changement climatique</w:t>
      </w:r>
      <w:r>
        <w:rPr>
          <w:rFonts w:cstheme="minorHAnsi"/>
        </w:rPr>
        <w:t>,</w:t>
      </w:r>
      <w:r w:rsidRPr="000A42AB">
        <w:rPr>
          <w:rFonts w:cstheme="minorHAnsi"/>
        </w:rPr>
        <w:t xml:space="preserve"> en amenant les entreprises à réduire leurs impacts et engager leur adaptation.</w:t>
      </w:r>
      <w:r w:rsidR="00BB3531">
        <w:rPr>
          <w:rFonts w:cstheme="minorHAnsi"/>
        </w:rPr>
        <w:t xml:space="preserve"> </w:t>
      </w:r>
      <w:r w:rsidR="002D7CD7">
        <w:rPr>
          <w:rFonts w:cstheme="minorHAnsi"/>
        </w:rPr>
        <w:t>Lancé en</w:t>
      </w:r>
      <w:r w:rsidR="00BB3531">
        <w:t xml:space="preserve"> septembre 2020 à la suite du Plan de Relance officialisé par le Gouvernement, </w:t>
      </w:r>
      <w:r w:rsidR="004A0E7A">
        <w:t xml:space="preserve">il repose sur les </w:t>
      </w:r>
      <w:r w:rsidR="00BB3531">
        <w:t>trois piliers</w:t>
      </w:r>
      <w:r w:rsidR="004A0E7A">
        <w:t xml:space="preserve"> suivants </w:t>
      </w:r>
      <w:r w:rsidR="00BB3531">
        <w:t>:</w:t>
      </w:r>
    </w:p>
    <w:p w14:paraId="7DFE9AE3" w14:textId="3CBEFAB5" w:rsidR="00BB3531" w:rsidRDefault="00BB3531" w:rsidP="00BB3531">
      <w:pPr>
        <w:pStyle w:val="Puce1"/>
      </w:pPr>
      <w:r>
        <w:t>1. Accélérer la transition des entreprises avec un continuum unique mêlant financement et accompagnement</w:t>
      </w:r>
      <w:r w:rsidR="004C0D47">
        <w:t>,</w:t>
      </w:r>
      <w:r>
        <w:t xml:space="preserve"> </w:t>
      </w:r>
    </w:p>
    <w:p w14:paraId="2B88FA1E" w14:textId="05A4BDCF" w:rsidR="00BB3531" w:rsidRDefault="00BB3531" w:rsidP="00BB3531">
      <w:pPr>
        <w:pStyle w:val="Puce1"/>
      </w:pPr>
      <w:r>
        <w:t>2. Accompagner le développement des énergies renouvelables et contribuer à la croissance de champions internationaux</w:t>
      </w:r>
      <w:r w:rsidR="004C0D47">
        <w:t>,</w:t>
      </w:r>
    </w:p>
    <w:p w14:paraId="40F009EB" w14:textId="1C126FB0" w:rsidR="00BB3531" w:rsidRDefault="00BB3531" w:rsidP="00BB3531">
      <w:pPr>
        <w:pStyle w:val="Puce1"/>
      </w:pPr>
      <w:r>
        <w:t xml:space="preserve">3. Financer et accompagner massivement l’innovation dans les Greentechs et dans les réseaux durables et résilients pour trouver les solutions technologiques de la </w:t>
      </w:r>
      <w:r w:rsidR="00AC0D66" w:rsidRPr="00AC0D66">
        <w:t>transition énergétique et écologique</w:t>
      </w:r>
      <w:r w:rsidR="004C0D47">
        <w:t>.</w:t>
      </w:r>
    </w:p>
    <w:p w14:paraId="53B95EFA" w14:textId="77777777" w:rsidR="00BB3531" w:rsidRDefault="00BB3531" w:rsidP="00BB3531">
      <w:pPr>
        <w:spacing w:after="120"/>
      </w:pPr>
    </w:p>
    <w:p w14:paraId="097D7829" w14:textId="21417878" w:rsidR="00BB3531" w:rsidRDefault="00BB3531" w:rsidP="00BB3531">
      <w:pPr>
        <w:spacing w:after="120"/>
        <w:rPr>
          <w:rFonts w:cstheme="minorHAnsi"/>
        </w:rPr>
      </w:pPr>
      <w:r>
        <w:t xml:space="preserve">Le Plan Climat est ainsi au cœur de la mission de Bpifrance, </w:t>
      </w:r>
      <w:r w:rsidR="008355EE">
        <w:t>et naturellement de</w:t>
      </w:r>
      <w:r w:rsidR="00804B5B">
        <w:t xml:space="preserve"> celle de</w:t>
      </w:r>
      <w:r>
        <w:t xml:space="preserve"> Bpifrance Investissement</w:t>
      </w:r>
      <w:r w:rsidR="005309B1">
        <w:t>.</w:t>
      </w:r>
    </w:p>
    <w:p w14:paraId="4CE15AA2" w14:textId="2D77807B" w:rsidR="00C60ECA" w:rsidRPr="00111373" w:rsidRDefault="00C60ECA" w:rsidP="00111373">
      <w:pPr>
        <w:rPr>
          <w:rFonts w:cstheme="minorHAnsi"/>
        </w:rPr>
      </w:pPr>
    </w:p>
    <w:p w14:paraId="7C5ECC18" w14:textId="4CC66DE1" w:rsidR="00C60ECA" w:rsidRPr="00D54651" w:rsidRDefault="002C3EA7" w:rsidP="00306121">
      <w:pPr>
        <w:pStyle w:val="Titre2"/>
        <w:rPr>
          <w:rFonts w:asciiTheme="majorHAnsi" w:hAnsiTheme="majorHAnsi" w:cstheme="majorHAnsi"/>
        </w:rPr>
      </w:pPr>
      <w:bookmarkStart w:id="48" w:name="_Toc132901990"/>
      <w:bookmarkStart w:id="49" w:name="_Toc139042738"/>
      <w:r>
        <w:t>O</w:t>
      </w:r>
      <w:r w:rsidR="00C60ECA" w:rsidRPr="00D54651">
        <w:t xml:space="preserve">bjectif </w:t>
      </w:r>
      <w:r w:rsidR="00D37711">
        <w:t xml:space="preserve">de réduction des émissions </w:t>
      </w:r>
      <w:r w:rsidR="00D37711" w:rsidRPr="00D54651">
        <w:t>de gaz à effet de serre</w:t>
      </w:r>
      <w:bookmarkEnd w:id="48"/>
      <w:bookmarkEnd w:id="49"/>
    </w:p>
    <w:p w14:paraId="51876484" w14:textId="1F2AF661" w:rsidR="00B96276" w:rsidRPr="000A42AB" w:rsidRDefault="00597370" w:rsidP="00C60ECA">
      <w:pPr>
        <w:spacing w:after="120"/>
        <w:rPr>
          <w:rFonts w:cstheme="minorHAnsi"/>
        </w:rPr>
      </w:pPr>
      <w:r>
        <w:rPr>
          <w:rFonts w:cstheme="minorHAnsi"/>
        </w:rPr>
        <w:t xml:space="preserve">Un grand chantier de travail </w:t>
      </w:r>
      <w:r w:rsidR="007E0CB6">
        <w:rPr>
          <w:rFonts w:cstheme="minorHAnsi"/>
        </w:rPr>
        <w:t>de calcul d</w:t>
      </w:r>
      <w:r>
        <w:rPr>
          <w:rFonts w:cstheme="minorHAnsi"/>
        </w:rPr>
        <w:t>e</w:t>
      </w:r>
      <w:r w:rsidR="00B96276">
        <w:rPr>
          <w:rFonts w:cstheme="minorHAnsi"/>
        </w:rPr>
        <w:t>s trajectoire</w:t>
      </w:r>
      <w:r>
        <w:rPr>
          <w:rFonts w:cstheme="minorHAnsi"/>
        </w:rPr>
        <w:t>s</w:t>
      </w:r>
      <w:r w:rsidR="00467B94">
        <w:rPr>
          <w:rFonts w:cstheme="minorHAnsi"/>
        </w:rPr>
        <w:t xml:space="preserve"> </w:t>
      </w:r>
      <w:r w:rsidR="008F47AB">
        <w:rPr>
          <w:rFonts w:cstheme="minorHAnsi"/>
        </w:rPr>
        <w:t>et scénarios climatique</w:t>
      </w:r>
      <w:r w:rsidR="007E0CB6">
        <w:rPr>
          <w:rFonts w:cstheme="minorHAnsi"/>
        </w:rPr>
        <w:t>s</w:t>
      </w:r>
      <w:r w:rsidR="00467B94">
        <w:rPr>
          <w:rFonts w:cstheme="minorHAnsi"/>
        </w:rPr>
        <w:t xml:space="preserve"> a été initié en 2022 et devrait se terminer durant le second semestre 2023.</w:t>
      </w:r>
      <w:r w:rsidR="000F38DD">
        <w:rPr>
          <w:rFonts w:cstheme="minorHAnsi"/>
        </w:rPr>
        <w:t xml:space="preserve"> </w:t>
      </w:r>
    </w:p>
    <w:p w14:paraId="0661E73C" w14:textId="77777777" w:rsidR="00DD2FCC" w:rsidRPr="0093060A" w:rsidRDefault="00DD2FCC" w:rsidP="00C60ECA">
      <w:pPr>
        <w:spacing w:after="120"/>
        <w:rPr>
          <w:bCs/>
        </w:rPr>
      </w:pPr>
    </w:p>
    <w:p w14:paraId="2A4ECEF5" w14:textId="7EBE3717" w:rsidR="00C60ECA" w:rsidRDefault="002C3EA7" w:rsidP="00306121">
      <w:pPr>
        <w:pStyle w:val="Titre2"/>
      </w:pPr>
      <w:bookmarkStart w:id="50" w:name="_Toc132901991"/>
      <w:bookmarkStart w:id="51" w:name="_Toc139042739"/>
      <w:r>
        <w:t>M</w:t>
      </w:r>
      <w:r w:rsidR="00C60ECA" w:rsidRPr="00D54651">
        <w:t>éthodologie</w:t>
      </w:r>
      <w:bookmarkEnd w:id="50"/>
      <w:bookmarkEnd w:id="51"/>
    </w:p>
    <w:p w14:paraId="2C665383" w14:textId="2CF7911B" w:rsidR="00C60ECA" w:rsidRDefault="00C60ECA" w:rsidP="009F3151">
      <w:r w:rsidRPr="00D551FE">
        <w:t xml:space="preserve">Bpifrance s’est engagé à mesurer de manière régulière l’intensité carbone de ses activités (Financement, Investissement et </w:t>
      </w:r>
      <w:r w:rsidRPr="00106F92">
        <w:rPr>
          <w:rFonts w:cs="Arial"/>
        </w:rPr>
        <w:t>Assurance</w:t>
      </w:r>
      <w:r w:rsidRPr="00D551FE">
        <w:t xml:space="preserve"> Export)</w:t>
      </w:r>
      <w:r>
        <w:t xml:space="preserve">, sur les trois </w:t>
      </w:r>
      <w:r w:rsidRPr="00CE3F77">
        <w:rPr>
          <w:i/>
          <w:iCs/>
        </w:rPr>
        <w:t>scopes</w:t>
      </w:r>
      <w:r w:rsidR="00F56AF2">
        <w:t>.</w:t>
      </w:r>
    </w:p>
    <w:p w14:paraId="002F8A75" w14:textId="77777777" w:rsidR="00F56AF2" w:rsidRDefault="00F56AF2" w:rsidP="009F3151"/>
    <w:p w14:paraId="2CCD5F65" w14:textId="77777777" w:rsidR="00750900" w:rsidRDefault="00750900" w:rsidP="00F56AF2">
      <w:r w:rsidRPr="00107125">
        <w:t>Un premier exercice d’évaluation avait été mené à l’été 2020, sur l’ensemble des portefeuilles au 31 décembre 2019 avec l’appui de consultants externes. Cet exercice a permis de définir les méthodologies de calcul particulières à chaque activité et d’évaluer, sur des bases essentiellement statistiques, l’intensité carbone de chaque entreprise des portefeuilles, sur sa chaîne complète de valeur, puis d’en affecter une quote-part à Bpifrance, par grande ligne de produit, puis par agrégats</w:t>
      </w:r>
      <w:r>
        <w:t>.</w:t>
      </w:r>
    </w:p>
    <w:p w14:paraId="73D2E6D5" w14:textId="42F77A19" w:rsidR="009A7AD7" w:rsidRDefault="009A7AD7" w:rsidP="00750900">
      <w:r>
        <w:t xml:space="preserve">Ce travail d’évaluation a été reconduit et internalisé sur les portefeuilles au 31 décembre 2021. Ses résultats ont été présentés aux organes de direction de Bpifrance et au Conseil d’administration. Ils n’ont pas vocation à ce stade, à être publiés, mais à nourrir et irriguer la réflexion et les chantiers Climat du Groupe. </w:t>
      </w:r>
    </w:p>
    <w:p w14:paraId="5B072992" w14:textId="77777777" w:rsidR="00F56AF2" w:rsidRDefault="00F56AF2" w:rsidP="00750900"/>
    <w:p w14:paraId="6E50D9B3" w14:textId="57FC63D2" w:rsidR="00FD4146" w:rsidRDefault="00F56AF2" w:rsidP="007B0429">
      <w:r>
        <w:t>L’empreinte carbone est estimée selon une méthodologie «</w:t>
      </w:r>
      <w:r w:rsidR="00B846FC">
        <w:t> </w:t>
      </w:r>
      <w:r w:rsidRPr="00B846FC">
        <w:rPr>
          <w:i/>
          <w:iCs/>
        </w:rPr>
        <w:t>bottom-up</w:t>
      </w:r>
      <w:r w:rsidR="00B846FC">
        <w:rPr>
          <w:i/>
          <w:iCs/>
        </w:rPr>
        <w:t> </w:t>
      </w:r>
      <w:r>
        <w:t>» intégrant l’information déclarée par les entreprises lorsque celle-ci est disponible. Elle est calculée de manière granulaire « ligne à ligne » en intégrant des indicateurs de positionnement sectoriel ainsi que des données de bilan de chaque entreprise financée ou investie. Le périmètre d’estimation couvre l’entièreté des activités de financement, d’investissement, ainsi que l’assurance export, sur les trois scopes d’émissions. La méthodologie adoptée est conforme aux meilleures pratiques sectorielles et aux recommandations de place, telles que détaillées dans la méthodologie commune sur la mesure de l’empreinte carbone de la FBF. Par ailleurs, Bpifrance calcule et publie l’empreinte carbone qui lui est imputable, sur les scopes 1 et 2 des entreprises cotées investies en direct. L’empreinte carbone imputable à Bpifrance est calculée au prorata de son taux de détention dans les entreprises concernées, sur les émissions publiées par les entreprises cotées investies, ramené au millier d’euros brut investi, non corrigées des variations de périmètres, à l’exception de la non prise en compte, dans le calcul, en 2020, 2021, et 2022 d’une entreprise non cotée, qui portait à 0,213 tCO2e l’empreinte carbone 2020 imputable à Bpifrance ; cette correction a été effectuée au regard de la variation du taux de détention.</w:t>
      </w:r>
    </w:p>
    <w:p w14:paraId="4F4750B5" w14:textId="79A9136D" w:rsidR="00C60ECA" w:rsidRDefault="003B6E88" w:rsidP="00306121">
      <w:pPr>
        <w:pStyle w:val="Titre2"/>
      </w:pPr>
      <w:bookmarkStart w:id="52" w:name="_Toc132901992"/>
      <w:bookmarkStart w:id="53" w:name="_Toc139042740"/>
      <w:r>
        <w:lastRenderedPageBreak/>
        <w:t>Q</w:t>
      </w:r>
      <w:r w:rsidR="00C60ECA" w:rsidRPr="00D54651">
        <w:t>uantification des résultats</w:t>
      </w:r>
      <w:bookmarkEnd w:id="53"/>
      <w:r w:rsidR="00C60ECA" w:rsidRPr="00D54651">
        <w:t xml:space="preserve"> </w:t>
      </w:r>
      <w:bookmarkEnd w:id="52"/>
    </w:p>
    <w:p w14:paraId="5DDA793C" w14:textId="7748FB66" w:rsidR="00222551" w:rsidRPr="007D0A4D" w:rsidRDefault="00AE0831" w:rsidP="005742A9">
      <w:pPr>
        <w:pStyle w:val="Titre4"/>
      </w:pPr>
      <w:r>
        <w:t>Empreinte carbone du périmètre coté</w:t>
      </w:r>
    </w:p>
    <w:tbl>
      <w:tblPr>
        <w:tblStyle w:val="TableauGrille5Fonc-Accentuation2"/>
        <w:tblpPr w:leftFromText="141" w:rightFromText="141" w:vertAnchor="text" w:horzAnchor="margin" w:tblpY="26"/>
        <w:tblW w:w="0" w:type="auto"/>
        <w:tblLook w:val="04A0" w:firstRow="1" w:lastRow="0" w:firstColumn="1" w:lastColumn="0" w:noHBand="0" w:noVBand="1"/>
      </w:tblPr>
      <w:tblGrid>
        <w:gridCol w:w="4106"/>
        <w:gridCol w:w="2029"/>
        <w:gridCol w:w="2029"/>
        <w:gridCol w:w="2030"/>
      </w:tblGrid>
      <w:tr w:rsidR="003B6E88" w14:paraId="1DD181A3" w14:textId="77777777" w:rsidTr="003B6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C215358" w14:textId="77777777" w:rsidR="003B6E88" w:rsidRPr="004B46B5" w:rsidRDefault="003B6E88" w:rsidP="003B6E88">
            <w:pPr>
              <w:jc w:val="left"/>
              <w:rPr>
                <w:b w:val="0"/>
                <w:bCs w:val="0"/>
              </w:rPr>
            </w:pPr>
            <w:r w:rsidRPr="004B46B5">
              <w:rPr>
                <w:b w:val="0"/>
                <w:bCs w:val="0"/>
              </w:rPr>
              <w:t>Périmètre coté mesuré</w:t>
            </w:r>
          </w:p>
        </w:tc>
        <w:tc>
          <w:tcPr>
            <w:tcW w:w="2029" w:type="dxa"/>
          </w:tcPr>
          <w:p w14:paraId="3587463D" w14:textId="77777777" w:rsidR="003B6E88" w:rsidRPr="004B46B5" w:rsidRDefault="003B6E88" w:rsidP="003B6E88">
            <w:pPr>
              <w:jc w:val="center"/>
              <w:cnfStyle w:val="100000000000" w:firstRow="1" w:lastRow="0" w:firstColumn="0" w:lastColumn="0" w:oddVBand="0" w:evenVBand="0" w:oddHBand="0" w:evenHBand="0" w:firstRowFirstColumn="0" w:firstRowLastColumn="0" w:lastRowFirstColumn="0" w:lastRowLastColumn="0"/>
              <w:rPr>
                <w:b w:val="0"/>
                <w:bCs w:val="0"/>
              </w:rPr>
            </w:pPr>
            <w:r w:rsidRPr="004B46B5">
              <w:rPr>
                <w:b w:val="0"/>
                <w:bCs w:val="0"/>
              </w:rPr>
              <w:t>2020</w:t>
            </w:r>
          </w:p>
        </w:tc>
        <w:tc>
          <w:tcPr>
            <w:tcW w:w="2029" w:type="dxa"/>
          </w:tcPr>
          <w:p w14:paraId="219E61E3" w14:textId="77777777" w:rsidR="003B6E88" w:rsidRPr="004B46B5" w:rsidRDefault="003B6E88" w:rsidP="003B6E88">
            <w:pPr>
              <w:jc w:val="center"/>
              <w:cnfStyle w:val="100000000000" w:firstRow="1" w:lastRow="0" w:firstColumn="0" w:lastColumn="0" w:oddVBand="0" w:evenVBand="0" w:oddHBand="0" w:evenHBand="0" w:firstRowFirstColumn="0" w:firstRowLastColumn="0" w:lastRowFirstColumn="0" w:lastRowLastColumn="0"/>
              <w:rPr>
                <w:b w:val="0"/>
                <w:bCs w:val="0"/>
              </w:rPr>
            </w:pPr>
            <w:r w:rsidRPr="004B46B5">
              <w:rPr>
                <w:b w:val="0"/>
                <w:bCs w:val="0"/>
              </w:rPr>
              <w:t>2021</w:t>
            </w:r>
          </w:p>
        </w:tc>
        <w:tc>
          <w:tcPr>
            <w:tcW w:w="2030" w:type="dxa"/>
          </w:tcPr>
          <w:p w14:paraId="541DFF21" w14:textId="77777777" w:rsidR="003B6E88" w:rsidRPr="004B46B5" w:rsidRDefault="003B6E88" w:rsidP="003B6E88">
            <w:pPr>
              <w:jc w:val="center"/>
              <w:cnfStyle w:val="100000000000" w:firstRow="1" w:lastRow="0" w:firstColumn="0" w:lastColumn="0" w:oddVBand="0" w:evenVBand="0" w:oddHBand="0" w:evenHBand="0" w:firstRowFirstColumn="0" w:firstRowLastColumn="0" w:lastRowFirstColumn="0" w:lastRowLastColumn="0"/>
              <w:rPr>
                <w:b w:val="0"/>
                <w:bCs w:val="0"/>
              </w:rPr>
            </w:pPr>
            <w:r w:rsidRPr="004B46B5">
              <w:rPr>
                <w:b w:val="0"/>
                <w:bCs w:val="0"/>
              </w:rPr>
              <w:t>2022</w:t>
            </w:r>
          </w:p>
        </w:tc>
      </w:tr>
      <w:tr w:rsidR="003B6E88" w14:paraId="69FED8C9" w14:textId="77777777" w:rsidTr="003B6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9670C3B" w14:textId="77777777" w:rsidR="003B6E88" w:rsidRPr="004B46B5" w:rsidRDefault="003B6E88" w:rsidP="003B6E88">
            <w:pPr>
              <w:jc w:val="left"/>
              <w:rPr>
                <w:b w:val="0"/>
                <w:bCs w:val="0"/>
              </w:rPr>
            </w:pPr>
            <w:r w:rsidRPr="004B46B5">
              <w:rPr>
                <w:b w:val="0"/>
                <w:bCs w:val="0"/>
              </w:rPr>
              <w:t>Nombre de sociétés cotées</w:t>
            </w:r>
          </w:p>
        </w:tc>
        <w:tc>
          <w:tcPr>
            <w:tcW w:w="2029" w:type="dxa"/>
          </w:tcPr>
          <w:p w14:paraId="514CE7E2" w14:textId="77777777" w:rsidR="003B6E88" w:rsidRDefault="003B6E88" w:rsidP="003B6E88">
            <w:pPr>
              <w:jc w:val="center"/>
              <w:cnfStyle w:val="000000100000" w:firstRow="0" w:lastRow="0" w:firstColumn="0" w:lastColumn="0" w:oddVBand="0" w:evenVBand="0" w:oddHBand="1" w:evenHBand="0" w:firstRowFirstColumn="0" w:firstRowLastColumn="0" w:lastRowFirstColumn="0" w:lastRowLastColumn="0"/>
            </w:pPr>
            <w:r>
              <w:t>26</w:t>
            </w:r>
          </w:p>
        </w:tc>
        <w:tc>
          <w:tcPr>
            <w:tcW w:w="2029" w:type="dxa"/>
          </w:tcPr>
          <w:p w14:paraId="0E68A8A3" w14:textId="77777777" w:rsidR="003B6E88" w:rsidRDefault="003B6E88" w:rsidP="003B6E88">
            <w:pPr>
              <w:jc w:val="center"/>
              <w:cnfStyle w:val="000000100000" w:firstRow="0" w:lastRow="0" w:firstColumn="0" w:lastColumn="0" w:oddVBand="0" w:evenVBand="0" w:oddHBand="1" w:evenHBand="0" w:firstRowFirstColumn="0" w:firstRowLastColumn="0" w:lastRowFirstColumn="0" w:lastRowLastColumn="0"/>
            </w:pPr>
            <w:r>
              <w:t>26</w:t>
            </w:r>
          </w:p>
        </w:tc>
        <w:tc>
          <w:tcPr>
            <w:tcW w:w="2030" w:type="dxa"/>
          </w:tcPr>
          <w:p w14:paraId="601A3F64" w14:textId="77777777" w:rsidR="003B6E88" w:rsidRDefault="003B6E88" w:rsidP="003B6E88">
            <w:pPr>
              <w:jc w:val="center"/>
              <w:cnfStyle w:val="000000100000" w:firstRow="0" w:lastRow="0" w:firstColumn="0" w:lastColumn="0" w:oddVBand="0" w:evenVBand="0" w:oddHBand="1" w:evenHBand="0" w:firstRowFirstColumn="0" w:firstRowLastColumn="0" w:lastRowFirstColumn="0" w:lastRowLastColumn="0"/>
            </w:pPr>
            <w:r>
              <w:t>26</w:t>
            </w:r>
          </w:p>
        </w:tc>
      </w:tr>
      <w:tr w:rsidR="003B6E88" w14:paraId="1B3BAA60" w14:textId="77777777" w:rsidTr="003B6E88">
        <w:tc>
          <w:tcPr>
            <w:cnfStyle w:val="001000000000" w:firstRow="0" w:lastRow="0" w:firstColumn="1" w:lastColumn="0" w:oddVBand="0" w:evenVBand="0" w:oddHBand="0" w:evenHBand="0" w:firstRowFirstColumn="0" w:firstRowLastColumn="0" w:lastRowFirstColumn="0" w:lastRowLastColumn="0"/>
            <w:tcW w:w="4106" w:type="dxa"/>
          </w:tcPr>
          <w:p w14:paraId="70CF81B7" w14:textId="77777777" w:rsidR="003B6E88" w:rsidRPr="004B46B5" w:rsidRDefault="003B6E88" w:rsidP="003B6E88">
            <w:pPr>
              <w:jc w:val="left"/>
              <w:rPr>
                <w:b w:val="0"/>
                <w:bCs w:val="0"/>
              </w:rPr>
            </w:pPr>
            <w:r w:rsidRPr="004B46B5">
              <w:rPr>
                <w:b w:val="0"/>
                <w:bCs w:val="0"/>
              </w:rPr>
              <w:t>Montant brut investi (k€)</w:t>
            </w:r>
          </w:p>
        </w:tc>
        <w:tc>
          <w:tcPr>
            <w:tcW w:w="2029" w:type="dxa"/>
          </w:tcPr>
          <w:p w14:paraId="63B03C7E" w14:textId="77777777" w:rsidR="003B6E88" w:rsidRDefault="003B6E88" w:rsidP="003B6E88">
            <w:pPr>
              <w:jc w:val="center"/>
              <w:cnfStyle w:val="000000000000" w:firstRow="0" w:lastRow="0" w:firstColumn="0" w:lastColumn="0" w:oddVBand="0" w:evenVBand="0" w:oddHBand="0" w:evenHBand="0" w:firstRowFirstColumn="0" w:firstRowLastColumn="0" w:lastRowFirstColumn="0" w:lastRowLastColumn="0"/>
            </w:pPr>
            <w:r>
              <w:t>12 850 707</w:t>
            </w:r>
          </w:p>
        </w:tc>
        <w:tc>
          <w:tcPr>
            <w:tcW w:w="2029" w:type="dxa"/>
          </w:tcPr>
          <w:p w14:paraId="7B0DA714" w14:textId="77777777" w:rsidR="003B6E88" w:rsidRDefault="003B6E88" w:rsidP="003B6E88">
            <w:pPr>
              <w:jc w:val="center"/>
              <w:cnfStyle w:val="000000000000" w:firstRow="0" w:lastRow="0" w:firstColumn="0" w:lastColumn="0" w:oddVBand="0" w:evenVBand="0" w:oddHBand="0" w:evenHBand="0" w:firstRowFirstColumn="0" w:firstRowLastColumn="0" w:lastRowFirstColumn="0" w:lastRowLastColumn="0"/>
            </w:pPr>
            <w:r>
              <w:t>13 693 272</w:t>
            </w:r>
          </w:p>
        </w:tc>
        <w:tc>
          <w:tcPr>
            <w:tcW w:w="2030" w:type="dxa"/>
          </w:tcPr>
          <w:p w14:paraId="55CFAD64" w14:textId="77777777" w:rsidR="003B6E88" w:rsidRDefault="003B6E88" w:rsidP="003B6E88">
            <w:pPr>
              <w:jc w:val="center"/>
              <w:cnfStyle w:val="000000000000" w:firstRow="0" w:lastRow="0" w:firstColumn="0" w:lastColumn="0" w:oddVBand="0" w:evenVBand="0" w:oddHBand="0" w:evenHBand="0" w:firstRowFirstColumn="0" w:firstRowLastColumn="0" w:lastRowFirstColumn="0" w:lastRowLastColumn="0"/>
            </w:pPr>
            <w:r>
              <w:t>13 261 302</w:t>
            </w:r>
          </w:p>
        </w:tc>
      </w:tr>
      <w:tr w:rsidR="003B6E88" w14:paraId="48E9F9CD" w14:textId="77777777" w:rsidTr="003B6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B03DE92" w14:textId="77777777" w:rsidR="003B6E88" w:rsidRPr="004B46B5" w:rsidRDefault="003B6E88" w:rsidP="003B6E88">
            <w:pPr>
              <w:jc w:val="left"/>
              <w:rPr>
                <w:b w:val="0"/>
                <w:bCs w:val="0"/>
              </w:rPr>
            </w:pPr>
            <w:r w:rsidRPr="004B46B5">
              <w:rPr>
                <w:b w:val="0"/>
                <w:bCs w:val="0"/>
              </w:rPr>
              <w:t>Empreinte carbone imputable à Bpifrance (tCO</w:t>
            </w:r>
            <w:r w:rsidRPr="004B46B5">
              <w:rPr>
                <w:b w:val="0"/>
                <w:bCs w:val="0"/>
                <w:vertAlign w:val="subscript"/>
              </w:rPr>
              <w:t>2</w:t>
            </w:r>
            <w:r w:rsidRPr="004B46B5">
              <w:rPr>
                <w:b w:val="0"/>
                <w:bCs w:val="0"/>
              </w:rPr>
              <w:t>eq pour 1k€ investi)</w:t>
            </w:r>
          </w:p>
        </w:tc>
        <w:tc>
          <w:tcPr>
            <w:tcW w:w="2029" w:type="dxa"/>
          </w:tcPr>
          <w:p w14:paraId="3E7E5BA2" w14:textId="77777777" w:rsidR="003B6E88" w:rsidRDefault="003B6E88" w:rsidP="003B6E88">
            <w:pPr>
              <w:jc w:val="center"/>
              <w:cnfStyle w:val="000000100000" w:firstRow="0" w:lastRow="0" w:firstColumn="0" w:lastColumn="0" w:oddVBand="0" w:evenVBand="0" w:oddHBand="1" w:evenHBand="0" w:firstRowFirstColumn="0" w:firstRowLastColumn="0" w:lastRowFirstColumn="0" w:lastRowLastColumn="0"/>
            </w:pPr>
            <w:r>
              <w:t>0,122</w:t>
            </w:r>
          </w:p>
        </w:tc>
        <w:tc>
          <w:tcPr>
            <w:tcW w:w="2029" w:type="dxa"/>
          </w:tcPr>
          <w:p w14:paraId="108E3277" w14:textId="77777777" w:rsidR="003B6E88" w:rsidRDefault="003B6E88" w:rsidP="003B6E88">
            <w:pPr>
              <w:jc w:val="center"/>
              <w:cnfStyle w:val="000000100000" w:firstRow="0" w:lastRow="0" w:firstColumn="0" w:lastColumn="0" w:oddVBand="0" w:evenVBand="0" w:oddHBand="1" w:evenHBand="0" w:firstRowFirstColumn="0" w:firstRowLastColumn="0" w:lastRowFirstColumn="0" w:lastRowLastColumn="0"/>
            </w:pPr>
            <w:r>
              <w:t>0,097</w:t>
            </w:r>
          </w:p>
        </w:tc>
        <w:tc>
          <w:tcPr>
            <w:tcW w:w="2030" w:type="dxa"/>
          </w:tcPr>
          <w:p w14:paraId="3A32C630" w14:textId="77777777" w:rsidR="003B6E88" w:rsidRDefault="003B6E88" w:rsidP="003B6E88">
            <w:pPr>
              <w:jc w:val="center"/>
              <w:cnfStyle w:val="000000100000" w:firstRow="0" w:lastRow="0" w:firstColumn="0" w:lastColumn="0" w:oddVBand="0" w:evenVBand="0" w:oddHBand="1" w:evenHBand="0" w:firstRowFirstColumn="0" w:firstRowLastColumn="0" w:lastRowFirstColumn="0" w:lastRowLastColumn="0"/>
            </w:pPr>
            <w:r>
              <w:t>0,349</w:t>
            </w:r>
          </w:p>
        </w:tc>
      </w:tr>
      <w:tr w:rsidR="003B6E88" w14:paraId="2115B43B" w14:textId="77777777" w:rsidTr="003B6E88">
        <w:tc>
          <w:tcPr>
            <w:cnfStyle w:val="001000000000" w:firstRow="0" w:lastRow="0" w:firstColumn="1" w:lastColumn="0" w:oddVBand="0" w:evenVBand="0" w:oddHBand="0" w:evenHBand="0" w:firstRowFirstColumn="0" w:firstRowLastColumn="0" w:lastRowFirstColumn="0" w:lastRowLastColumn="0"/>
            <w:tcW w:w="4106" w:type="dxa"/>
          </w:tcPr>
          <w:p w14:paraId="5321098F" w14:textId="1A0895B5" w:rsidR="003B6E88" w:rsidRPr="004B46B5" w:rsidRDefault="003B6E88" w:rsidP="003B6E88">
            <w:pPr>
              <w:jc w:val="left"/>
              <w:rPr>
                <w:b w:val="0"/>
                <w:bCs w:val="0"/>
              </w:rPr>
            </w:pPr>
            <w:r w:rsidRPr="004B46B5">
              <w:rPr>
                <w:b w:val="0"/>
                <w:bCs w:val="0"/>
              </w:rPr>
              <w:t xml:space="preserve">Total </w:t>
            </w:r>
            <w:r w:rsidR="0040009C">
              <w:rPr>
                <w:b w:val="0"/>
                <w:bCs w:val="0"/>
              </w:rPr>
              <w:t>portefeuille coté</w:t>
            </w:r>
            <w:r>
              <w:rPr>
                <w:b w:val="0"/>
                <w:bCs w:val="0"/>
              </w:rPr>
              <w:t xml:space="preserve"> (k€)</w:t>
            </w:r>
          </w:p>
        </w:tc>
        <w:tc>
          <w:tcPr>
            <w:tcW w:w="2029" w:type="dxa"/>
          </w:tcPr>
          <w:p w14:paraId="357895DB" w14:textId="77777777" w:rsidR="003B6E88" w:rsidRDefault="003B6E88" w:rsidP="003B6E88">
            <w:pPr>
              <w:jc w:val="center"/>
              <w:cnfStyle w:val="000000000000" w:firstRow="0" w:lastRow="0" w:firstColumn="0" w:lastColumn="0" w:oddVBand="0" w:evenVBand="0" w:oddHBand="0" w:evenHBand="0" w:firstRowFirstColumn="0" w:firstRowLastColumn="0" w:lastRowFirstColumn="0" w:lastRowLastColumn="0"/>
            </w:pPr>
            <w:r>
              <w:t>13 630 279</w:t>
            </w:r>
          </w:p>
        </w:tc>
        <w:tc>
          <w:tcPr>
            <w:tcW w:w="2029" w:type="dxa"/>
          </w:tcPr>
          <w:p w14:paraId="6E19C367" w14:textId="77777777" w:rsidR="003B6E88" w:rsidRDefault="003B6E88" w:rsidP="003B6E88">
            <w:pPr>
              <w:jc w:val="center"/>
              <w:cnfStyle w:val="000000000000" w:firstRow="0" w:lastRow="0" w:firstColumn="0" w:lastColumn="0" w:oddVBand="0" w:evenVBand="0" w:oddHBand="0" w:evenHBand="0" w:firstRowFirstColumn="0" w:firstRowLastColumn="0" w:lastRowFirstColumn="0" w:lastRowLastColumn="0"/>
            </w:pPr>
            <w:r>
              <w:t>14 758 234</w:t>
            </w:r>
          </w:p>
        </w:tc>
        <w:tc>
          <w:tcPr>
            <w:tcW w:w="2030" w:type="dxa"/>
          </w:tcPr>
          <w:p w14:paraId="6D6A463E" w14:textId="77777777" w:rsidR="003B6E88" w:rsidRDefault="003B6E88" w:rsidP="003B6E88">
            <w:pPr>
              <w:jc w:val="center"/>
              <w:cnfStyle w:val="000000000000" w:firstRow="0" w:lastRow="0" w:firstColumn="0" w:lastColumn="0" w:oddVBand="0" w:evenVBand="0" w:oddHBand="0" w:evenHBand="0" w:firstRowFirstColumn="0" w:firstRowLastColumn="0" w:lastRowFirstColumn="0" w:lastRowLastColumn="0"/>
            </w:pPr>
            <w:r>
              <w:t>16 393 774</w:t>
            </w:r>
          </w:p>
        </w:tc>
      </w:tr>
      <w:tr w:rsidR="003B6E88" w14:paraId="49389A0E" w14:textId="77777777" w:rsidTr="003B6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8B01113" w14:textId="77777777" w:rsidR="003B6E88" w:rsidRPr="004B46B5" w:rsidRDefault="003B6E88" w:rsidP="003B6E88">
            <w:pPr>
              <w:jc w:val="left"/>
              <w:rPr>
                <w:b w:val="0"/>
                <w:bCs w:val="0"/>
              </w:rPr>
            </w:pPr>
            <w:r w:rsidRPr="004B46B5">
              <w:rPr>
                <w:b w:val="0"/>
                <w:bCs w:val="0"/>
              </w:rPr>
              <w:t>% mesuré</w:t>
            </w:r>
          </w:p>
        </w:tc>
        <w:tc>
          <w:tcPr>
            <w:tcW w:w="2029" w:type="dxa"/>
          </w:tcPr>
          <w:p w14:paraId="758BF757" w14:textId="77777777" w:rsidR="003B6E88" w:rsidRDefault="003B6E88" w:rsidP="003B6E88">
            <w:pPr>
              <w:jc w:val="center"/>
              <w:cnfStyle w:val="000000100000" w:firstRow="0" w:lastRow="0" w:firstColumn="0" w:lastColumn="0" w:oddVBand="0" w:evenVBand="0" w:oddHBand="1" w:evenHBand="0" w:firstRowFirstColumn="0" w:firstRowLastColumn="0" w:lastRowFirstColumn="0" w:lastRowLastColumn="0"/>
            </w:pPr>
            <w:r>
              <w:t>94,3%</w:t>
            </w:r>
          </w:p>
        </w:tc>
        <w:tc>
          <w:tcPr>
            <w:tcW w:w="2029" w:type="dxa"/>
          </w:tcPr>
          <w:p w14:paraId="159CC4F6" w14:textId="77777777" w:rsidR="003B6E88" w:rsidRDefault="003B6E88" w:rsidP="003B6E88">
            <w:pPr>
              <w:jc w:val="center"/>
              <w:cnfStyle w:val="000000100000" w:firstRow="0" w:lastRow="0" w:firstColumn="0" w:lastColumn="0" w:oddVBand="0" w:evenVBand="0" w:oddHBand="1" w:evenHBand="0" w:firstRowFirstColumn="0" w:firstRowLastColumn="0" w:lastRowFirstColumn="0" w:lastRowLastColumn="0"/>
            </w:pPr>
            <w:r>
              <w:t>92,8%</w:t>
            </w:r>
          </w:p>
        </w:tc>
        <w:tc>
          <w:tcPr>
            <w:tcW w:w="2030" w:type="dxa"/>
          </w:tcPr>
          <w:p w14:paraId="3A3CCAB0" w14:textId="77777777" w:rsidR="003B6E88" w:rsidRDefault="003B6E88" w:rsidP="003B6E88">
            <w:pPr>
              <w:jc w:val="center"/>
              <w:cnfStyle w:val="000000100000" w:firstRow="0" w:lastRow="0" w:firstColumn="0" w:lastColumn="0" w:oddVBand="0" w:evenVBand="0" w:oddHBand="1" w:evenHBand="0" w:firstRowFirstColumn="0" w:firstRowLastColumn="0" w:lastRowFirstColumn="0" w:lastRowLastColumn="0"/>
            </w:pPr>
            <w:r>
              <w:t>81 %</w:t>
            </w:r>
          </w:p>
        </w:tc>
      </w:tr>
    </w:tbl>
    <w:p w14:paraId="5236EABE" w14:textId="77777777" w:rsidR="005742A9" w:rsidRDefault="005742A9" w:rsidP="00222551">
      <w:pPr>
        <w:rPr>
          <w:rFonts w:asciiTheme="majorHAnsi" w:hAnsiTheme="majorHAnsi" w:cstheme="majorHAnsi"/>
        </w:rPr>
      </w:pPr>
    </w:p>
    <w:p w14:paraId="0DE0DBBB" w14:textId="77777777" w:rsidR="00222551" w:rsidRPr="00663199" w:rsidRDefault="00222551" w:rsidP="00F5624F">
      <w:r w:rsidRPr="00663199">
        <w:t>Ces travaux sont complétés, pour les Grandes Entreprises, par une analyse des engagements pris en matière de trajectoire de réduction de leurs émissions, en vue de définir une trajectoire d’empreinte carbone de ce portefeuille pour la société de gestion.</w:t>
      </w:r>
    </w:p>
    <w:p w14:paraId="065A3ADA" w14:textId="77777777" w:rsidR="00222551" w:rsidRPr="00663199" w:rsidRDefault="00222551" w:rsidP="00F5624F">
      <w:r w:rsidRPr="00663199">
        <w:t>Cette analyse a été spécifiquement menée sur le Fonds Lac1</w:t>
      </w:r>
      <w:r>
        <w:rPr>
          <w:rStyle w:val="Appelnotedebasdep"/>
          <w:rFonts w:asciiTheme="majorHAnsi" w:hAnsiTheme="majorHAnsi" w:cstheme="majorHAnsi"/>
        </w:rPr>
        <w:footnoteReference w:id="18"/>
      </w:r>
      <w:r w:rsidRPr="00663199">
        <w:t>, en conformité avec sa politique d’engagement actionnarial.</w:t>
      </w:r>
    </w:p>
    <w:p w14:paraId="4E906D39" w14:textId="77777777" w:rsidR="00222551" w:rsidRPr="00663199" w:rsidRDefault="00222551" w:rsidP="00222551">
      <w:pPr>
        <w:rPr>
          <w:rFonts w:asciiTheme="majorHAnsi" w:hAnsiTheme="majorHAnsi" w:cstheme="majorHAnsi"/>
        </w:rPr>
      </w:pPr>
    </w:p>
    <w:p w14:paraId="15BB0E1C" w14:textId="65F760A8" w:rsidR="00222551" w:rsidRPr="00663199" w:rsidRDefault="00222551" w:rsidP="00324759">
      <w:r w:rsidRPr="00663199">
        <w:t>La maturité des entreprises Capital Investissement ainsi que la disponibilité de données quantitatives d’émissions ont par ailleurs été évaluées dans le cadre de l’enquête annuelle ESG menée en 202</w:t>
      </w:r>
      <w:r w:rsidR="00324759">
        <w:t>3</w:t>
      </w:r>
      <w:r w:rsidRPr="00663199">
        <w:t xml:space="preserve"> sur l’année civile 202</w:t>
      </w:r>
      <w:r w:rsidR="00324759">
        <w:t>2</w:t>
      </w:r>
      <w:r w:rsidRPr="00663199">
        <w:t xml:space="preserve"> auprès des entreprises investies en direct.</w:t>
      </w:r>
    </w:p>
    <w:p w14:paraId="4418F8F3" w14:textId="68176BE7" w:rsidR="00222551" w:rsidRDefault="00222551" w:rsidP="00F16478">
      <w:r w:rsidRPr="00663199">
        <w:t xml:space="preserve">Il en </w:t>
      </w:r>
      <w:r w:rsidRPr="00483792">
        <w:t xml:space="preserve">ressort un niveau </w:t>
      </w:r>
      <w:r w:rsidR="0054547A" w:rsidRPr="00483792">
        <w:t xml:space="preserve">croissant d’entreprise ayant </w:t>
      </w:r>
      <w:r w:rsidR="00AF2FC6" w:rsidRPr="00483792">
        <w:t xml:space="preserve">procédé à une </w:t>
      </w:r>
      <w:r w:rsidRPr="00483792">
        <w:t>mesure de</w:t>
      </w:r>
      <w:r w:rsidR="00AF2FC6" w:rsidRPr="00483792">
        <w:t xml:space="preserve"> leurs émissions de gaz à effet de serre</w:t>
      </w:r>
      <w:r w:rsidR="003347FD" w:rsidRPr="00483792">
        <w:t>, avec une prise en compte du scope 3 assez important</w:t>
      </w:r>
      <w:r w:rsidR="003C16EE" w:rsidRPr="00483792">
        <w:t> ;</w:t>
      </w:r>
      <w:r>
        <w:t xml:space="preserve"> voir le tableau ci-dessous.</w:t>
      </w:r>
    </w:p>
    <w:p w14:paraId="1051AC19" w14:textId="77777777" w:rsidR="00893444" w:rsidRDefault="00893444" w:rsidP="00F16478"/>
    <w:tbl>
      <w:tblPr>
        <w:tblStyle w:val="TableauGrille5Fonc-Accentuation1"/>
        <w:tblW w:w="10201" w:type="dxa"/>
        <w:tblLayout w:type="fixed"/>
        <w:tblLook w:val="0620" w:firstRow="1" w:lastRow="0" w:firstColumn="0" w:lastColumn="0" w:noHBand="1" w:noVBand="1"/>
      </w:tblPr>
      <w:tblGrid>
        <w:gridCol w:w="7650"/>
        <w:gridCol w:w="1275"/>
        <w:gridCol w:w="1276"/>
      </w:tblGrid>
      <w:tr w:rsidR="00286823" w:rsidRPr="00893444" w14:paraId="18E5E0D5" w14:textId="77777777" w:rsidTr="004C0D47">
        <w:trPr>
          <w:cnfStyle w:val="100000000000" w:firstRow="1" w:lastRow="0" w:firstColumn="0" w:lastColumn="0" w:oddVBand="0" w:evenVBand="0" w:oddHBand="0" w:evenHBand="0" w:firstRowFirstColumn="0" w:firstRowLastColumn="0" w:lastRowFirstColumn="0" w:lastRowLastColumn="0"/>
          <w:trHeight w:val="378"/>
        </w:trPr>
        <w:tc>
          <w:tcPr>
            <w:tcW w:w="7650" w:type="dxa"/>
            <w:noWrap/>
            <w:hideMark/>
          </w:tcPr>
          <w:p w14:paraId="06DFAC30" w14:textId="77777777" w:rsidR="00893444" w:rsidRPr="00893444" w:rsidRDefault="00893444" w:rsidP="00893444">
            <w:pPr>
              <w:spacing w:line="240" w:lineRule="auto"/>
              <w:jc w:val="left"/>
              <w:rPr>
                <w:rFonts w:eastAsia="Times New Roman" w:cs="Arial"/>
                <w:color w:val="786E64" w:themeColor="accent2"/>
                <w:sz w:val="22"/>
                <w:szCs w:val="22"/>
                <w:lang w:eastAsia="fr-FR"/>
              </w:rPr>
            </w:pPr>
            <w:r w:rsidRPr="00893444">
              <w:rPr>
                <w:rFonts w:eastAsia="Times New Roman" w:cs="Arial"/>
                <w:color w:val="786E64" w:themeColor="accent2"/>
                <w:sz w:val="22"/>
                <w:szCs w:val="22"/>
                <w:lang w:eastAsia="fr-FR"/>
              </w:rPr>
              <w:t xml:space="preserve">Indicateurs environnementaux </w:t>
            </w:r>
          </w:p>
        </w:tc>
        <w:tc>
          <w:tcPr>
            <w:tcW w:w="1275" w:type="dxa"/>
            <w:noWrap/>
            <w:hideMark/>
          </w:tcPr>
          <w:p w14:paraId="4DDD530D" w14:textId="77777777" w:rsidR="00893444" w:rsidRPr="00893444" w:rsidRDefault="00893444" w:rsidP="00893444">
            <w:pPr>
              <w:spacing w:line="240" w:lineRule="auto"/>
              <w:jc w:val="center"/>
              <w:rPr>
                <w:rFonts w:eastAsia="Times New Roman" w:cs="Arial"/>
                <w:color w:val="786E64" w:themeColor="accent2"/>
                <w:sz w:val="22"/>
                <w:szCs w:val="22"/>
                <w:lang w:eastAsia="fr-FR"/>
              </w:rPr>
            </w:pPr>
            <w:r w:rsidRPr="00893444">
              <w:rPr>
                <w:rFonts w:eastAsia="Times New Roman" w:cs="Arial"/>
                <w:color w:val="786E64" w:themeColor="accent2"/>
                <w:sz w:val="22"/>
                <w:szCs w:val="22"/>
                <w:lang w:eastAsia="fr-FR"/>
              </w:rPr>
              <w:t>2021</w:t>
            </w:r>
          </w:p>
        </w:tc>
        <w:tc>
          <w:tcPr>
            <w:tcW w:w="1276" w:type="dxa"/>
            <w:noWrap/>
            <w:hideMark/>
          </w:tcPr>
          <w:p w14:paraId="3EC7FA9B" w14:textId="77777777" w:rsidR="00893444" w:rsidRPr="00893444" w:rsidRDefault="00893444" w:rsidP="00893444">
            <w:pPr>
              <w:spacing w:line="240" w:lineRule="auto"/>
              <w:jc w:val="center"/>
              <w:rPr>
                <w:rFonts w:eastAsia="Times New Roman" w:cs="Arial"/>
                <w:color w:val="786E64" w:themeColor="accent2"/>
                <w:sz w:val="22"/>
                <w:szCs w:val="22"/>
                <w:lang w:eastAsia="fr-FR"/>
              </w:rPr>
            </w:pPr>
            <w:r w:rsidRPr="00893444">
              <w:rPr>
                <w:rFonts w:eastAsia="Times New Roman" w:cs="Arial"/>
                <w:color w:val="786E64" w:themeColor="accent2"/>
                <w:sz w:val="22"/>
                <w:szCs w:val="22"/>
                <w:lang w:eastAsia="fr-FR"/>
              </w:rPr>
              <w:t>2022</w:t>
            </w:r>
          </w:p>
        </w:tc>
      </w:tr>
      <w:tr w:rsidR="00286823" w:rsidRPr="00893444" w14:paraId="04C2C29A" w14:textId="77777777" w:rsidTr="004C0D47">
        <w:trPr>
          <w:trHeight w:val="310"/>
        </w:trPr>
        <w:tc>
          <w:tcPr>
            <w:tcW w:w="7650" w:type="dxa"/>
            <w:hideMark/>
          </w:tcPr>
          <w:p w14:paraId="45EEFAA9" w14:textId="77777777" w:rsidR="00893444" w:rsidRPr="00893444" w:rsidRDefault="00893444" w:rsidP="00893444">
            <w:pPr>
              <w:spacing w:line="240" w:lineRule="auto"/>
              <w:jc w:val="left"/>
              <w:rPr>
                <w:rFonts w:eastAsia="Times New Roman" w:cs="Arial"/>
                <w:i/>
                <w:iCs/>
                <w:color w:val="786E64" w:themeColor="accent2"/>
                <w:lang w:eastAsia="fr-FR"/>
              </w:rPr>
            </w:pPr>
            <w:r w:rsidRPr="00893444">
              <w:rPr>
                <w:rFonts w:eastAsia="Times New Roman" w:cs="Arial"/>
                <w:i/>
                <w:iCs/>
                <w:color w:val="786E64" w:themeColor="accent2"/>
                <w:lang w:eastAsia="fr-FR"/>
              </w:rPr>
              <w:t>Taux de réponse</w:t>
            </w:r>
          </w:p>
        </w:tc>
        <w:tc>
          <w:tcPr>
            <w:tcW w:w="1275" w:type="dxa"/>
            <w:noWrap/>
            <w:hideMark/>
          </w:tcPr>
          <w:p w14:paraId="7C12F078" w14:textId="77777777" w:rsidR="00893444" w:rsidRPr="00893444" w:rsidRDefault="00893444" w:rsidP="00893444">
            <w:pPr>
              <w:spacing w:line="240" w:lineRule="auto"/>
              <w:jc w:val="center"/>
              <w:rPr>
                <w:rFonts w:eastAsia="Times New Roman" w:cs="Arial"/>
                <w:i/>
                <w:iCs/>
                <w:color w:val="786E64" w:themeColor="accent2"/>
                <w:lang w:eastAsia="fr-FR"/>
              </w:rPr>
            </w:pPr>
            <w:r w:rsidRPr="00893444">
              <w:rPr>
                <w:rFonts w:eastAsia="Times New Roman" w:cs="Arial"/>
                <w:i/>
                <w:iCs/>
                <w:color w:val="786E64" w:themeColor="accent2"/>
                <w:lang w:eastAsia="fr-FR"/>
              </w:rPr>
              <w:t> </w:t>
            </w:r>
          </w:p>
        </w:tc>
        <w:tc>
          <w:tcPr>
            <w:tcW w:w="1276" w:type="dxa"/>
            <w:noWrap/>
            <w:hideMark/>
          </w:tcPr>
          <w:p w14:paraId="7DA02BF1" w14:textId="77777777" w:rsidR="00893444" w:rsidRPr="00893444" w:rsidRDefault="00893444" w:rsidP="00893444">
            <w:pPr>
              <w:spacing w:line="240" w:lineRule="auto"/>
              <w:jc w:val="center"/>
              <w:rPr>
                <w:rFonts w:eastAsia="Times New Roman" w:cs="Arial"/>
                <w:i/>
                <w:iCs/>
                <w:color w:val="786E64" w:themeColor="accent2"/>
                <w:lang w:eastAsia="fr-FR"/>
              </w:rPr>
            </w:pPr>
            <w:r w:rsidRPr="00893444">
              <w:rPr>
                <w:rFonts w:eastAsia="Times New Roman" w:cs="Arial"/>
                <w:i/>
                <w:iCs/>
                <w:color w:val="786E64" w:themeColor="accent2"/>
                <w:lang w:eastAsia="fr-FR"/>
              </w:rPr>
              <w:t>55%</w:t>
            </w:r>
          </w:p>
        </w:tc>
      </w:tr>
      <w:tr w:rsidR="00286823" w:rsidRPr="00893444" w14:paraId="762FFE3F" w14:textId="77777777" w:rsidTr="004C0D47">
        <w:trPr>
          <w:trHeight w:val="310"/>
        </w:trPr>
        <w:tc>
          <w:tcPr>
            <w:tcW w:w="7650" w:type="dxa"/>
            <w:hideMark/>
          </w:tcPr>
          <w:p w14:paraId="3EB03FC6" w14:textId="77777777" w:rsidR="00893444" w:rsidRPr="00893444" w:rsidRDefault="00893444" w:rsidP="00893444">
            <w:pPr>
              <w:spacing w:line="240" w:lineRule="auto"/>
              <w:jc w:val="left"/>
              <w:rPr>
                <w:rFonts w:eastAsia="Times New Roman" w:cs="Arial"/>
                <w:color w:val="786E64" w:themeColor="accent2"/>
                <w:lang w:eastAsia="fr-FR"/>
              </w:rPr>
            </w:pPr>
            <w:r w:rsidRPr="00893444">
              <w:rPr>
                <w:rFonts w:eastAsia="Times New Roman" w:cs="Arial"/>
                <w:color w:val="786E64" w:themeColor="accent2"/>
                <w:lang w:eastAsia="fr-FR"/>
              </w:rPr>
              <w:t>Part des entreprises répondantes ayant une politique environnementale formalisée</w:t>
            </w:r>
          </w:p>
        </w:tc>
        <w:tc>
          <w:tcPr>
            <w:tcW w:w="1275" w:type="dxa"/>
            <w:noWrap/>
            <w:hideMark/>
          </w:tcPr>
          <w:p w14:paraId="0A8B60C1"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48%</w:t>
            </w:r>
          </w:p>
        </w:tc>
        <w:tc>
          <w:tcPr>
            <w:tcW w:w="1276" w:type="dxa"/>
            <w:noWrap/>
            <w:hideMark/>
          </w:tcPr>
          <w:p w14:paraId="200B8D14"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37%</w:t>
            </w:r>
          </w:p>
        </w:tc>
      </w:tr>
      <w:tr w:rsidR="00286823" w:rsidRPr="00893444" w14:paraId="5F836CD9" w14:textId="77777777" w:rsidTr="004C0D47">
        <w:trPr>
          <w:trHeight w:val="310"/>
        </w:trPr>
        <w:tc>
          <w:tcPr>
            <w:tcW w:w="7650" w:type="dxa"/>
            <w:hideMark/>
          </w:tcPr>
          <w:p w14:paraId="2A39A9C1" w14:textId="433070B2" w:rsidR="00893444" w:rsidRPr="00CF4E5A" w:rsidRDefault="00893444" w:rsidP="00CF4E5A">
            <w:pPr>
              <w:spacing w:line="240" w:lineRule="auto"/>
              <w:ind w:left="306"/>
              <w:jc w:val="left"/>
              <w:rPr>
                <w:rFonts w:eastAsia="Times New Roman" w:cs="Arial"/>
                <w:i/>
                <w:iCs/>
                <w:color w:val="786E64" w:themeColor="accent2"/>
                <w:lang w:eastAsia="fr-FR"/>
              </w:rPr>
            </w:pPr>
            <w:r w:rsidRPr="00CF4E5A">
              <w:rPr>
                <w:rFonts w:eastAsia="Times New Roman" w:cs="Arial"/>
                <w:i/>
                <w:iCs/>
                <w:color w:val="786E64" w:themeColor="accent2"/>
                <w:lang w:eastAsia="fr-FR"/>
              </w:rPr>
              <w:t xml:space="preserve">Dont part ayant formalisé une politique de réduction des gaz à effet de serre </w:t>
            </w:r>
          </w:p>
        </w:tc>
        <w:tc>
          <w:tcPr>
            <w:tcW w:w="1275" w:type="dxa"/>
            <w:noWrap/>
            <w:hideMark/>
          </w:tcPr>
          <w:p w14:paraId="01321620"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45%</w:t>
            </w:r>
          </w:p>
        </w:tc>
        <w:tc>
          <w:tcPr>
            <w:tcW w:w="1276" w:type="dxa"/>
            <w:noWrap/>
            <w:hideMark/>
          </w:tcPr>
          <w:p w14:paraId="79878843"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28%</w:t>
            </w:r>
          </w:p>
        </w:tc>
      </w:tr>
      <w:tr w:rsidR="00286823" w:rsidRPr="00893444" w14:paraId="240F5E91" w14:textId="77777777" w:rsidTr="004C0D47">
        <w:trPr>
          <w:trHeight w:val="620"/>
        </w:trPr>
        <w:tc>
          <w:tcPr>
            <w:tcW w:w="7650" w:type="dxa"/>
            <w:hideMark/>
          </w:tcPr>
          <w:p w14:paraId="4FF3A59C" w14:textId="77777777" w:rsidR="00893444" w:rsidRPr="00CF4E5A" w:rsidRDefault="00893444" w:rsidP="00CF4E5A">
            <w:pPr>
              <w:spacing w:line="240" w:lineRule="auto"/>
              <w:ind w:left="306"/>
              <w:jc w:val="left"/>
              <w:rPr>
                <w:rFonts w:eastAsia="Times New Roman" w:cs="Arial"/>
                <w:i/>
                <w:iCs/>
                <w:color w:val="786E64" w:themeColor="accent2"/>
                <w:lang w:eastAsia="fr-FR"/>
              </w:rPr>
            </w:pPr>
            <w:r w:rsidRPr="00CF4E5A">
              <w:rPr>
                <w:rFonts w:eastAsia="Times New Roman" w:cs="Arial"/>
                <w:i/>
                <w:iCs/>
                <w:color w:val="786E64" w:themeColor="accent2"/>
                <w:lang w:eastAsia="fr-FR"/>
              </w:rPr>
              <w:t>ET dont part ayant défini des objectifs spécifiques, quantifiés et datés de réduction des émissions de GES</w:t>
            </w:r>
          </w:p>
        </w:tc>
        <w:tc>
          <w:tcPr>
            <w:tcW w:w="1275" w:type="dxa"/>
            <w:noWrap/>
            <w:hideMark/>
          </w:tcPr>
          <w:p w14:paraId="51253746"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20%</w:t>
            </w:r>
          </w:p>
        </w:tc>
        <w:tc>
          <w:tcPr>
            <w:tcW w:w="1276" w:type="dxa"/>
            <w:noWrap/>
            <w:hideMark/>
          </w:tcPr>
          <w:p w14:paraId="1BC65DF6"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28%</w:t>
            </w:r>
          </w:p>
        </w:tc>
      </w:tr>
      <w:tr w:rsidR="00286823" w:rsidRPr="00893444" w14:paraId="4697904A" w14:textId="77777777" w:rsidTr="004C0D47">
        <w:trPr>
          <w:trHeight w:val="620"/>
        </w:trPr>
        <w:tc>
          <w:tcPr>
            <w:tcW w:w="7650" w:type="dxa"/>
            <w:hideMark/>
          </w:tcPr>
          <w:p w14:paraId="7CAB9CFD" w14:textId="77777777" w:rsidR="00893444" w:rsidRPr="00893444" w:rsidRDefault="00893444" w:rsidP="00893444">
            <w:pPr>
              <w:spacing w:line="240" w:lineRule="auto"/>
              <w:jc w:val="left"/>
              <w:rPr>
                <w:rFonts w:eastAsia="Times New Roman" w:cs="Arial"/>
                <w:color w:val="786E64" w:themeColor="accent2"/>
                <w:lang w:eastAsia="fr-FR"/>
              </w:rPr>
            </w:pPr>
            <w:r w:rsidRPr="00893444">
              <w:rPr>
                <w:rFonts w:eastAsia="Times New Roman" w:cs="Arial"/>
                <w:color w:val="786E64" w:themeColor="accent2"/>
                <w:lang w:eastAsia="fr-FR"/>
              </w:rPr>
              <w:t>Part des sociétés répondantes ayant déjà procédé à une évaluation de leur empreinte carbone -partielle ou totale- :</w:t>
            </w:r>
          </w:p>
        </w:tc>
        <w:tc>
          <w:tcPr>
            <w:tcW w:w="1275" w:type="dxa"/>
            <w:noWrap/>
            <w:hideMark/>
          </w:tcPr>
          <w:p w14:paraId="5EB29E94"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33%</w:t>
            </w:r>
          </w:p>
        </w:tc>
        <w:tc>
          <w:tcPr>
            <w:tcW w:w="1276" w:type="dxa"/>
            <w:noWrap/>
            <w:hideMark/>
          </w:tcPr>
          <w:p w14:paraId="057A7999"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49%</w:t>
            </w:r>
          </w:p>
        </w:tc>
      </w:tr>
      <w:tr w:rsidR="00286823" w:rsidRPr="00893444" w14:paraId="72751287" w14:textId="77777777" w:rsidTr="004C0D47">
        <w:trPr>
          <w:trHeight w:val="310"/>
        </w:trPr>
        <w:tc>
          <w:tcPr>
            <w:tcW w:w="7650" w:type="dxa"/>
            <w:noWrap/>
            <w:hideMark/>
          </w:tcPr>
          <w:p w14:paraId="3F873914" w14:textId="77777777" w:rsidR="00893444" w:rsidRPr="00CF4E5A" w:rsidRDefault="00893444" w:rsidP="00CF4E5A">
            <w:pPr>
              <w:spacing w:line="240" w:lineRule="auto"/>
              <w:ind w:left="306"/>
              <w:jc w:val="left"/>
              <w:rPr>
                <w:rFonts w:eastAsia="Times New Roman" w:cs="Arial"/>
                <w:i/>
                <w:iCs/>
                <w:color w:val="786E64" w:themeColor="accent2"/>
                <w:lang w:eastAsia="fr-FR"/>
              </w:rPr>
            </w:pPr>
            <w:r w:rsidRPr="00CF4E5A">
              <w:rPr>
                <w:rFonts w:eastAsia="Times New Roman" w:cs="Arial"/>
                <w:i/>
                <w:iCs/>
                <w:color w:val="786E64" w:themeColor="accent2"/>
                <w:lang w:eastAsia="fr-FR"/>
              </w:rPr>
              <w:t>Dont part l'ayant fait partiellement (l’un des scopes, ou deux combinés)</w:t>
            </w:r>
          </w:p>
        </w:tc>
        <w:tc>
          <w:tcPr>
            <w:tcW w:w="1275" w:type="dxa"/>
            <w:noWrap/>
            <w:hideMark/>
          </w:tcPr>
          <w:p w14:paraId="41A59812"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63,0%</w:t>
            </w:r>
          </w:p>
        </w:tc>
        <w:tc>
          <w:tcPr>
            <w:tcW w:w="1276" w:type="dxa"/>
            <w:noWrap/>
            <w:hideMark/>
          </w:tcPr>
          <w:p w14:paraId="08C7C249"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26%</w:t>
            </w:r>
          </w:p>
        </w:tc>
      </w:tr>
      <w:tr w:rsidR="00286823" w:rsidRPr="00893444" w14:paraId="50891751" w14:textId="77777777" w:rsidTr="004C0D47">
        <w:trPr>
          <w:trHeight w:val="310"/>
        </w:trPr>
        <w:tc>
          <w:tcPr>
            <w:tcW w:w="7650" w:type="dxa"/>
            <w:noWrap/>
            <w:hideMark/>
          </w:tcPr>
          <w:p w14:paraId="1054C519" w14:textId="77777777" w:rsidR="00893444" w:rsidRPr="00CF4E5A" w:rsidRDefault="00893444" w:rsidP="00CF4E5A">
            <w:pPr>
              <w:spacing w:line="240" w:lineRule="auto"/>
              <w:ind w:left="306"/>
              <w:jc w:val="left"/>
              <w:rPr>
                <w:rFonts w:eastAsia="Times New Roman" w:cs="Arial"/>
                <w:i/>
                <w:iCs/>
                <w:color w:val="786E64" w:themeColor="accent2"/>
                <w:lang w:eastAsia="fr-FR"/>
              </w:rPr>
            </w:pPr>
            <w:r w:rsidRPr="00CF4E5A">
              <w:rPr>
                <w:rFonts w:eastAsia="Times New Roman" w:cs="Arial"/>
                <w:i/>
                <w:iCs/>
                <w:color w:val="786E64" w:themeColor="accent2"/>
                <w:lang w:eastAsia="fr-FR"/>
              </w:rPr>
              <w:t xml:space="preserve">Dont part l'ayant fait sur les scopes 1, 2 et 3 </w:t>
            </w:r>
          </w:p>
        </w:tc>
        <w:tc>
          <w:tcPr>
            <w:tcW w:w="1275" w:type="dxa"/>
            <w:noWrap/>
            <w:hideMark/>
          </w:tcPr>
          <w:p w14:paraId="1F1A13E5"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37,0%</w:t>
            </w:r>
          </w:p>
        </w:tc>
        <w:tc>
          <w:tcPr>
            <w:tcW w:w="1276" w:type="dxa"/>
            <w:noWrap/>
            <w:hideMark/>
          </w:tcPr>
          <w:p w14:paraId="4679FA6E"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74%</w:t>
            </w:r>
          </w:p>
        </w:tc>
      </w:tr>
      <w:tr w:rsidR="00286823" w:rsidRPr="00893444" w14:paraId="753832E1" w14:textId="77777777" w:rsidTr="004C0D47">
        <w:trPr>
          <w:trHeight w:val="310"/>
        </w:trPr>
        <w:tc>
          <w:tcPr>
            <w:tcW w:w="7650" w:type="dxa"/>
            <w:noWrap/>
            <w:hideMark/>
          </w:tcPr>
          <w:p w14:paraId="36505199" w14:textId="77777777" w:rsidR="00893444" w:rsidRPr="00893444" w:rsidRDefault="00893444" w:rsidP="00893444">
            <w:pPr>
              <w:spacing w:line="240" w:lineRule="auto"/>
              <w:jc w:val="left"/>
              <w:rPr>
                <w:rFonts w:eastAsia="Times New Roman" w:cs="Arial"/>
                <w:color w:val="786E64" w:themeColor="accent2"/>
                <w:lang w:eastAsia="fr-FR"/>
              </w:rPr>
            </w:pPr>
            <w:r w:rsidRPr="00893444">
              <w:rPr>
                <w:rFonts w:eastAsia="Times New Roman" w:cs="Arial"/>
                <w:color w:val="786E64" w:themeColor="accent2"/>
                <w:lang w:eastAsia="fr-FR"/>
              </w:rPr>
              <w:t>Part des sociétés n'ayant procédé à aucune évaluation de leur empreinte carbone</w:t>
            </w:r>
          </w:p>
        </w:tc>
        <w:tc>
          <w:tcPr>
            <w:tcW w:w="1275" w:type="dxa"/>
            <w:noWrap/>
            <w:hideMark/>
          </w:tcPr>
          <w:p w14:paraId="425725E3"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67%</w:t>
            </w:r>
          </w:p>
        </w:tc>
        <w:tc>
          <w:tcPr>
            <w:tcW w:w="1276" w:type="dxa"/>
            <w:noWrap/>
            <w:hideMark/>
          </w:tcPr>
          <w:p w14:paraId="24553DFF" w14:textId="77777777" w:rsidR="00893444" w:rsidRPr="00893444" w:rsidRDefault="00893444" w:rsidP="00893444">
            <w:pPr>
              <w:spacing w:line="240" w:lineRule="auto"/>
              <w:jc w:val="center"/>
              <w:rPr>
                <w:rFonts w:eastAsia="Times New Roman" w:cs="Arial"/>
                <w:color w:val="786E64" w:themeColor="accent2"/>
                <w:lang w:eastAsia="fr-FR"/>
              </w:rPr>
            </w:pPr>
            <w:r w:rsidRPr="00893444">
              <w:rPr>
                <w:rFonts w:eastAsia="Times New Roman" w:cs="Arial"/>
                <w:color w:val="786E64" w:themeColor="accent2"/>
                <w:lang w:eastAsia="fr-FR"/>
              </w:rPr>
              <w:t>51%</w:t>
            </w:r>
          </w:p>
        </w:tc>
      </w:tr>
    </w:tbl>
    <w:p w14:paraId="59C74773" w14:textId="77777777" w:rsidR="00483792" w:rsidRDefault="00483792" w:rsidP="00F16478"/>
    <w:p w14:paraId="10B2883D" w14:textId="77777777" w:rsidR="00483792" w:rsidRDefault="00483792" w:rsidP="00F16478"/>
    <w:p w14:paraId="7DF015E1" w14:textId="0FCD590E" w:rsidR="00C60ECA" w:rsidRDefault="009B5CCB" w:rsidP="00306121">
      <w:pPr>
        <w:pStyle w:val="Titre2"/>
      </w:pPr>
      <w:bookmarkStart w:id="54" w:name="_Toc132901993"/>
      <w:bookmarkStart w:id="55" w:name="_Toc139042741"/>
      <w:r>
        <w:t>R</w:t>
      </w:r>
      <w:r w:rsidR="00C60ECA" w:rsidRPr="00D54651">
        <w:t>ôle et usage de l'évaluation dans la stratégie d'investissement</w:t>
      </w:r>
      <w:bookmarkEnd w:id="54"/>
      <w:bookmarkEnd w:id="55"/>
    </w:p>
    <w:p w14:paraId="58868087" w14:textId="6C94AE7C" w:rsidR="002C3EA7" w:rsidRDefault="002C3EA7" w:rsidP="00A30E52">
      <w:r>
        <w:t>Les calculs d’empreinte carbone et surtout les résultats de la campagne ESG annuelle permet</w:t>
      </w:r>
      <w:r w:rsidR="00324F42">
        <w:t>tent</w:t>
      </w:r>
      <w:r>
        <w:t xml:space="preserve"> d’avoir une perspective sur l’évolution des pratiques des entreprises concernant les questions du climat. Ces informations permettent également d’orienter les discussions avec les entreprises – Bpifrance Investissement jouant un rôle dans les conseils d’administration – en abordant ces questions et en proposant des pistes de progrès (voir </w:t>
      </w:r>
      <w:r w:rsidR="00476636">
        <w:t xml:space="preserve">les solutions offertes par Bpifrance en section </w:t>
      </w:r>
      <w:hyperlink w:anchor="_Un_plan_d'action" w:history="1">
        <w:r w:rsidR="00476636">
          <w:rPr>
            <w:rStyle w:val="Lienhypertexte"/>
          </w:rPr>
          <w:t>Plan d'action visant à réduire l'exposition aux principaux risques en matière ESG</w:t>
        </w:r>
      </w:hyperlink>
      <w:r w:rsidR="00476636">
        <w:t>)</w:t>
      </w:r>
    </w:p>
    <w:p w14:paraId="7E8448AD" w14:textId="264A9EE7" w:rsidR="00C60ECA" w:rsidRDefault="00226668" w:rsidP="00306121">
      <w:pPr>
        <w:pStyle w:val="Titre2"/>
      </w:pPr>
      <w:bookmarkStart w:id="56" w:name="_Toc132901994"/>
      <w:bookmarkStart w:id="57" w:name="_Toc139042742"/>
      <w:r>
        <w:lastRenderedPageBreak/>
        <w:t>C</w:t>
      </w:r>
      <w:r w:rsidR="00C60ECA" w:rsidRPr="00D54651">
        <w:t xml:space="preserve">hangements intervenus au sein de la stratégie d'investissement </w:t>
      </w:r>
      <w:bookmarkEnd w:id="56"/>
      <w:r w:rsidR="00CA0114">
        <w:t>et de la sortie des hydrocarbures</w:t>
      </w:r>
      <w:bookmarkEnd w:id="57"/>
    </w:p>
    <w:p w14:paraId="7FD50EE5" w14:textId="3BF9F443" w:rsidR="00476636" w:rsidRDefault="00476636" w:rsidP="008937DC">
      <w:r>
        <w:t xml:space="preserve">L’année 2022 a vu le recrutement </w:t>
      </w:r>
      <w:r w:rsidR="00DA5676">
        <w:t xml:space="preserve">d’une ressource dédiée à l’ESG et la création d’un pôle ESG spécifique sur le climat, afin d’approfondir et mieux prendre en compte ces enjeux dans les investissements. La participation dans les comités d’investissement de la référente ESG s’est accrue, de même que </w:t>
      </w:r>
      <w:r w:rsidR="002718CF">
        <w:t>le renforcement des échanges sur le climat avec les participations.</w:t>
      </w:r>
    </w:p>
    <w:p w14:paraId="06159263" w14:textId="7D6C913C" w:rsidR="000758F3" w:rsidRDefault="002718CF" w:rsidP="008937DC">
      <w:r>
        <w:t>Également d</w:t>
      </w:r>
      <w:r w:rsidR="000758F3">
        <w:t xml:space="preserve">urant l’année 2022, </w:t>
      </w:r>
      <w:r w:rsidR="00DF02D4">
        <w:t>Bpifrance Investissement</w:t>
      </w:r>
      <w:r w:rsidR="00A95169">
        <w:t xml:space="preserve"> et le groupe Bpifrance ont fait évoluer leurs positions vis-à-vis des secteurs du charbon, du pétrole et du gaz</w:t>
      </w:r>
      <w:r w:rsidR="00F6516C">
        <w:t>, en cohérence avec les évolutions du groupe Caisse des dépôts.</w:t>
      </w:r>
      <w:r w:rsidR="00C70FE9">
        <w:t xml:space="preserve"> Ces politiques sectorielles concernent tout le périmètre d’intervention de Bpifrance Investissement.</w:t>
      </w:r>
    </w:p>
    <w:p w14:paraId="7B92F2F8" w14:textId="77777777" w:rsidR="000317FC" w:rsidRDefault="000317FC" w:rsidP="008937DC"/>
    <w:p w14:paraId="71AE361E" w14:textId="56F4D659" w:rsidR="003352A5" w:rsidRDefault="003352A5" w:rsidP="003352A5">
      <w:pPr>
        <w:pStyle w:val="Titre3"/>
      </w:pPr>
      <w:bookmarkStart w:id="58" w:name="_Toc139042743"/>
      <w:r>
        <w:t xml:space="preserve">Charbon </w:t>
      </w:r>
      <w:r w:rsidR="007625D7">
        <w:t>t</w:t>
      </w:r>
      <w:r>
        <w:t>hermique</w:t>
      </w:r>
      <w:bookmarkEnd w:id="58"/>
    </w:p>
    <w:p w14:paraId="24A2B81B" w14:textId="3BDA25DF" w:rsidR="00345405" w:rsidRDefault="000317FC" w:rsidP="008937DC">
      <w:r>
        <w:t xml:space="preserve">Concernant le charbon thermique, le Groupe </w:t>
      </w:r>
      <w:r w:rsidR="00767520">
        <w:t xml:space="preserve">Bpifrance a abaissé le seuil </w:t>
      </w:r>
      <w:r w:rsidR="00345405">
        <w:t xml:space="preserve">d’exposition des entreprises cibles </w:t>
      </w:r>
      <w:r w:rsidR="00767520">
        <w:t>de 10% à 5% du CA</w:t>
      </w:r>
      <w:r w:rsidR="00345405">
        <w:t>.</w:t>
      </w:r>
      <w:r w:rsidR="00112188">
        <w:t xml:space="preserve"> Il rejoint en cela les standards les plus exigeants tout en </w:t>
      </w:r>
      <w:r w:rsidR="003352A5">
        <w:t xml:space="preserve">soutenant les </w:t>
      </w:r>
      <w:r w:rsidR="00112188">
        <w:t xml:space="preserve">acteurs en voie de sortie complète </w:t>
      </w:r>
      <w:r w:rsidR="00DB3DA2">
        <w:t>du charbon.</w:t>
      </w:r>
      <w:r w:rsidR="003352A5">
        <w:t xml:space="preserve"> La politique sectorielle s’énonce désormais ainsi :</w:t>
      </w:r>
    </w:p>
    <w:p w14:paraId="143E88BB" w14:textId="77777777" w:rsidR="00574A93" w:rsidRDefault="00574A93" w:rsidP="008937DC"/>
    <w:p w14:paraId="7DE0E905" w14:textId="4BDCCF17" w:rsidR="000317FC" w:rsidRDefault="003352A5" w:rsidP="00574A93">
      <w:pPr>
        <w:ind w:left="360"/>
      </w:pPr>
      <w:r>
        <w:t xml:space="preserve">« Bpifrance </w:t>
      </w:r>
      <w:r w:rsidR="000317FC">
        <w:t xml:space="preserve">s’engage à atteindre une exposition au charbon thermique de ses portefeuilles d’investissements et financements nulle d’ici 2030 dans les pays l’OCDE, et d’ici 2040 dans le reste du monde. Bpifrance exclut ainsi de ses portefeuilles d’investissements et de financements : </w:t>
      </w:r>
    </w:p>
    <w:p w14:paraId="2FD25D77" w14:textId="0F32F07D" w:rsidR="000317FC" w:rsidRDefault="000317FC" w:rsidP="00574A93">
      <w:pPr>
        <w:pStyle w:val="Puce1"/>
        <w:ind w:left="720"/>
      </w:pPr>
      <w:r>
        <w:t>Les sociétés dont l’activité est exposée à plus de 5 % du CA au charbon thermique</w:t>
      </w:r>
      <w:r w:rsidR="004C0D47">
        <w:t>,</w:t>
      </w:r>
    </w:p>
    <w:p w14:paraId="3E375C6A" w14:textId="3040B584" w:rsidR="000317FC" w:rsidRDefault="000317FC" w:rsidP="00574A93">
      <w:pPr>
        <w:pStyle w:val="Puce1"/>
        <w:ind w:left="720"/>
      </w:pPr>
      <w:r>
        <w:t>Les sociétés développant de nouvelles centrales au charbon (seuil 300 MW de nouvelles capacités), ou de nouvelles mines et infrastructures dédiées au charbon</w:t>
      </w:r>
      <w:r w:rsidR="004C0D47">
        <w:t>,</w:t>
      </w:r>
    </w:p>
    <w:p w14:paraId="1351A177" w14:textId="3D805515" w:rsidR="000317FC" w:rsidRDefault="000317FC" w:rsidP="00574A93">
      <w:pPr>
        <w:pStyle w:val="Puce1"/>
        <w:ind w:left="720"/>
      </w:pPr>
      <w:r>
        <w:t>Les sociétés minières dont le volume de production annuel de charbon thermique dépasse les 10 Mt</w:t>
      </w:r>
      <w:r w:rsidR="004C0D47">
        <w:t>,</w:t>
      </w:r>
    </w:p>
    <w:p w14:paraId="7D4FF388" w14:textId="7F4CCF15" w:rsidR="000317FC" w:rsidRDefault="000317FC" w:rsidP="00574A93">
      <w:pPr>
        <w:pStyle w:val="Puce1"/>
        <w:ind w:left="720"/>
      </w:pPr>
      <w:r>
        <w:t>Les fournisseurs d’énergies dont la capacité de production électrique à partir de charbon dépasse 10 GW</w:t>
      </w:r>
      <w:r w:rsidR="004C0D47">
        <w:t>.</w:t>
      </w:r>
      <w:r w:rsidR="003352A5">
        <w:t> »</w:t>
      </w:r>
    </w:p>
    <w:p w14:paraId="3EECEAC8" w14:textId="7139ABDF" w:rsidR="00A95169" w:rsidRDefault="00A95169" w:rsidP="008937DC"/>
    <w:p w14:paraId="3CEB2FD5" w14:textId="4D6134B2" w:rsidR="003352A5" w:rsidRDefault="00CC458F" w:rsidP="00CC458F">
      <w:pPr>
        <w:pStyle w:val="Titre3"/>
      </w:pPr>
      <w:bookmarkStart w:id="59" w:name="_Toc139042744"/>
      <w:r>
        <w:t>Pétrole et gaz</w:t>
      </w:r>
      <w:bookmarkEnd w:id="59"/>
    </w:p>
    <w:p w14:paraId="29E44835" w14:textId="17C543D4" w:rsidR="00CC458F" w:rsidRDefault="008B6BF3" w:rsidP="008937DC">
      <w:r>
        <w:t xml:space="preserve">En 2022, </w:t>
      </w:r>
      <w:r w:rsidR="00CC458F">
        <w:t>Bpifrance</w:t>
      </w:r>
      <w:r>
        <w:t xml:space="preserve"> </w:t>
      </w:r>
      <w:r w:rsidR="00D51B9E">
        <w:t xml:space="preserve">a </w:t>
      </w:r>
      <w:r>
        <w:t>clarifi</w:t>
      </w:r>
      <w:r w:rsidR="00D51B9E">
        <w:t>é</w:t>
      </w:r>
      <w:r>
        <w:t xml:space="preserve"> sa position </w:t>
      </w:r>
      <w:r w:rsidR="001F52E8">
        <w:t xml:space="preserve">concernant les pétroles et gaz conventionnels en limitant </w:t>
      </w:r>
      <w:r w:rsidR="000E5DC6">
        <w:t xml:space="preserve">les nouveaux projets </w:t>
      </w:r>
      <w:r w:rsidR="002068A1">
        <w:t>« </w:t>
      </w:r>
      <w:r w:rsidR="000E5DC6" w:rsidRPr="002068A1">
        <w:rPr>
          <w:i/>
          <w:iCs/>
        </w:rPr>
        <w:t>upstream</w:t>
      </w:r>
      <w:r w:rsidR="002068A1">
        <w:rPr>
          <w:i/>
          <w:iCs/>
        </w:rPr>
        <w:t> »</w:t>
      </w:r>
      <w:r w:rsidR="000E5DC6">
        <w:t xml:space="preserve"> et d’infrastructure. Le seuil d’exclusion pour les entreprises </w:t>
      </w:r>
      <w:r w:rsidR="002068A1">
        <w:t>exposées aux hydrocarbures non conventionnels est fixé à 10%.</w:t>
      </w:r>
    </w:p>
    <w:p w14:paraId="4C7C8E21" w14:textId="61656EDD" w:rsidR="002068A1" w:rsidRDefault="002068A1" w:rsidP="008937DC">
      <w:r>
        <w:t>La politique sectorielle s’énonce désormais ainsi :</w:t>
      </w:r>
    </w:p>
    <w:p w14:paraId="6AD93353" w14:textId="77777777" w:rsidR="00574A93" w:rsidRDefault="00574A93" w:rsidP="008937DC"/>
    <w:p w14:paraId="13DB1F23" w14:textId="77777777" w:rsidR="00022060" w:rsidRDefault="00022060" w:rsidP="00574A93">
      <w:pPr>
        <w:ind w:left="360"/>
      </w:pPr>
      <w:r>
        <w:t xml:space="preserve">« Concernant les énergies non conventionnelles, Bpifrance s’engage à atteindre avant 2050 une exposition nulle aux hydrocarbures non conventionnels et à réexaminer régulièrement cette date de sortie afin de l’avancer. Il exclut de ses portefeuilles d’investissements et de financements : </w:t>
      </w:r>
    </w:p>
    <w:p w14:paraId="5D5896E3" w14:textId="40B14B45" w:rsidR="00022060" w:rsidRDefault="00022060" w:rsidP="00574A93">
      <w:pPr>
        <w:pStyle w:val="Puce1"/>
        <w:ind w:left="720"/>
      </w:pPr>
      <w:r>
        <w:t>Les sociétés</w:t>
      </w:r>
      <w:r w:rsidR="009C247D">
        <w:rPr>
          <w:rStyle w:val="Appelnotedebasdep"/>
        </w:rPr>
        <w:footnoteReference w:id="19"/>
      </w:r>
      <w:r w:rsidR="009C247D">
        <w:t xml:space="preserve"> </w:t>
      </w:r>
      <w:r w:rsidR="00D56FC7">
        <w:rPr>
          <w:rStyle w:val="Appelnotedebasdep"/>
        </w:rPr>
        <w:footnoteReference w:id="20"/>
      </w:r>
      <w:r>
        <w:t xml:space="preserve"> générant plus de 10 % de leur chiffre d’affaires à partir des hydrocarbures non conventionnels</w:t>
      </w:r>
      <w:r w:rsidR="00D56FC7">
        <w:t> </w:t>
      </w:r>
      <w:r>
        <w:t>: sables bitumineux, ressources issues de l’Arctique ou de la fracturation hydraulique, excepté lorsqu’un financement est ciblé sur un projet ou une filiale dédiée aux énergies renouvelables</w:t>
      </w:r>
      <w:r w:rsidR="004C0D47">
        <w:t>,</w:t>
      </w:r>
    </w:p>
    <w:p w14:paraId="066F2468" w14:textId="62317EFD" w:rsidR="00F8084D" w:rsidRDefault="00022060" w:rsidP="00574A93">
      <w:pPr>
        <w:pStyle w:val="Puce1"/>
        <w:ind w:left="720"/>
      </w:pPr>
      <w:r>
        <w:t>Le financement en direct des infrastructures et projets d’exploration dédiés à ces hydrocarbures non conventionnels</w:t>
      </w:r>
      <w:r w:rsidR="004C0D47">
        <w:t>.</w:t>
      </w:r>
    </w:p>
    <w:p w14:paraId="1C445316" w14:textId="77777777" w:rsidR="00F8084D" w:rsidRDefault="00F8084D" w:rsidP="00574A93">
      <w:pPr>
        <w:ind w:left="360"/>
      </w:pPr>
    </w:p>
    <w:p w14:paraId="75D82D88" w14:textId="77777777" w:rsidR="00F8084D" w:rsidRDefault="00022060" w:rsidP="00574A93">
      <w:pPr>
        <w:ind w:left="360"/>
      </w:pPr>
      <w:r>
        <w:t xml:space="preserve">Concernant l’encadrement du pétrole et du gaz conventionnels, Bpifrance exclut de ses portefeuilles d’investissements et de financements directs : </w:t>
      </w:r>
    </w:p>
    <w:p w14:paraId="203E3790" w14:textId="1FE1A1F4" w:rsidR="00F8084D" w:rsidRDefault="00022060" w:rsidP="00574A93">
      <w:pPr>
        <w:pStyle w:val="Puce1"/>
        <w:ind w:left="720"/>
      </w:pPr>
      <w:r>
        <w:t>Le développement de nouveaux projets pétroliers ou gaziers (upstream)</w:t>
      </w:r>
      <w:r w:rsidR="0096159F">
        <w:rPr>
          <w:rStyle w:val="Appelnotedebasdep"/>
        </w:rPr>
        <w:footnoteReference w:id="21"/>
      </w:r>
      <w:r w:rsidR="004C0D47">
        <w:t>,</w:t>
      </w:r>
    </w:p>
    <w:p w14:paraId="3CAFD94E" w14:textId="671031DF" w:rsidR="002068A1" w:rsidRDefault="00022060" w:rsidP="00574A93">
      <w:pPr>
        <w:pStyle w:val="Puce1"/>
        <w:ind w:left="720"/>
      </w:pPr>
      <w:r>
        <w:lastRenderedPageBreak/>
        <w:t>Les infrastructures de transport associées</w:t>
      </w:r>
      <w:r w:rsidR="0096159F">
        <w:rPr>
          <w:rStyle w:val="Appelnotedebasdep"/>
        </w:rPr>
        <w:footnoteReference w:id="22"/>
      </w:r>
      <w:r>
        <w:t xml:space="preserve"> à ces nouveaux projets.</w:t>
      </w:r>
      <w:r w:rsidR="00574A93">
        <w:t> »</w:t>
      </w:r>
    </w:p>
    <w:p w14:paraId="489E625E" w14:textId="77777777" w:rsidR="00574A93" w:rsidRPr="008937DC" w:rsidRDefault="00574A93" w:rsidP="00574A93">
      <w:pPr>
        <w:pStyle w:val="Puce1"/>
        <w:numPr>
          <w:ilvl w:val="0"/>
          <w:numId w:val="0"/>
        </w:numPr>
        <w:ind w:left="360" w:hanging="360"/>
      </w:pPr>
    </w:p>
    <w:p w14:paraId="33E52370" w14:textId="278EAD44" w:rsidR="00C60ECA" w:rsidRDefault="00C60ECA" w:rsidP="00306121">
      <w:pPr>
        <w:pStyle w:val="Titre2"/>
      </w:pPr>
      <w:bookmarkStart w:id="60" w:name="_Toc132901995"/>
      <w:bookmarkStart w:id="61" w:name="_Toc139042745"/>
      <w:r w:rsidRPr="00D54651">
        <w:t>Les éventuelles actions de suivi des résultats et des changements intervenus</w:t>
      </w:r>
      <w:bookmarkEnd w:id="61"/>
      <w:r w:rsidRPr="00D54651">
        <w:t xml:space="preserve"> </w:t>
      </w:r>
      <w:bookmarkEnd w:id="60"/>
    </w:p>
    <w:p w14:paraId="4D068D53" w14:textId="6BDA482D" w:rsidR="00737D46" w:rsidRPr="00737D46" w:rsidRDefault="00D47B76" w:rsidP="00737D46">
      <w:r>
        <w:t xml:space="preserve">Pas de changements </w:t>
      </w:r>
      <w:r w:rsidR="002973CC">
        <w:t>additionnels</w:t>
      </w:r>
      <w:r w:rsidR="009E0068">
        <w:t xml:space="preserve"> à ceux déjà évoqués précédemment dans le rapport.</w:t>
      </w:r>
    </w:p>
    <w:p w14:paraId="788D4CA3" w14:textId="7CBD169E" w:rsidR="00C60ECA" w:rsidRPr="007E483F" w:rsidRDefault="00505BBB" w:rsidP="00306121">
      <w:pPr>
        <w:pStyle w:val="Titre2"/>
      </w:pPr>
      <w:bookmarkStart w:id="62" w:name="_Toc132901996"/>
      <w:bookmarkStart w:id="63" w:name="_Toc139042746"/>
      <w:r>
        <w:t>F</w:t>
      </w:r>
      <w:r w:rsidR="00C60ECA" w:rsidRPr="00D54651">
        <w:t>réquence de l'évaluation</w:t>
      </w:r>
      <w:bookmarkEnd w:id="62"/>
      <w:bookmarkEnd w:id="63"/>
    </w:p>
    <w:p w14:paraId="5FC1F7F5" w14:textId="4CD64A1D" w:rsidR="00C60ECA" w:rsidRDefault="00A53940" w:rsidP="00C60ECA">
      <w:pPr>
        <w:spacing w:after="200" w:line="276" w:lineRule="auto"/>
        <w:jc w:val="left"/>
      </w:pPr>
      <w:r>
        <w:t xml:space="preserve">La campagne de collecte de l’information est annuelle, lors de la campagne ESG auprès des participations Bpifrance et </w:t>
      </w:r>
      <w:r w:rsidR="00ED1AFC">
        <w:t>lors de la publication des documents d’enregistrement universel des participations cotées.</w:t>
      </w:r>
    </w:p>
    <w:p w14:paraId="7CD80B18" w14:textId="122DCCD9" w:rsidR="00C60ECA" w:rsidRDefault="002718CF" w:rsidP="00306121">
      <w:pPr>
        <w:pStyle w:val="Titre1"/>
      </w:pPr>
      <w:bookmarkStart w:id="64" w:name="_Toc132901997"/>
      <w:bookmarkStart w:id="65" w:name="_Toc139042747"/>
      <w:r>
        <w:lastRenderedPageBreak/>
        <w:t>S</w:t>
      </w:r>
      <w:r w:rsidR="00C60ECA">
        <w:t xml:space="preserve">trategie d'alignement avec les objetcifs de long </w:t>
      </w:r>
      <w:r w:rsidR="00202F68">
        <w:t>terme liés</w:t>
      </w:r>
      <w:r w:rsidR="00C60ECA">
        <w:t xml:space="preserve"> à la biodiversite</w:t>
      </w:r>
      <w:bookmarkEnd w:id="64"/>
      <w:bookmarkEnd w:id="65"/>
    </w:p>
    <w:p w14:paraId="32AC3DA8" w14:textId="6A112F7A" w:rsidR="001167E5" w:rsidRPr="001167E5" w:rsidRDefault="001167E5" w:rsidP="001167E5">
      <w:r w:rsidRPr="001167E5">
        <w:t>En 202</w:t>
      </w:r>
      <w:r w:rsidR="00CB6D5B">
        <w:t>1 et 2022</w:t>
      </w:r>
      <w:r w:rsidRPr="001167E5">
        <w:t>, la prise de conscience des enjeux liés à l'érosion de la biodiversité s'est accélérée avec la tenue de plusieurs grands rendez-vous internationaux (</w:t>
      </w:r>
      <w:r w:rsidRPr="004C0D47">
        <w:rPr>
          <w:i/>
          <w:iCs/>
        </w:rPr>
        <w:t>One Planet Summit for Biodiversity</w:t>
      </w:r>
      <w:r w:rsidRPr="001167E5">
        <w:t>, Congrès mondial de la nature de l'UICN, Convention sur la diversité biologique</w:t>
      </w:r>
      <w:r w:rsidR="001F1795">
        <w:t xml:space="preserve"> du Kunming</w:t>
      </w:r>
      <w:r w:rsidRPr="001167E5">
        <w:t>).</w:t>
      </w:r>
    </w:p>
    <w:p w14:paraId="11A8D561" w14:textId="79D7DCCA" w:rsidR="001167E5" w:rsidRDefault="001167E5" w:rsidP="001167E5">
      <w:r w:rsidRPr="001167E5">
        <w:t>En 2019 déjà, le rapport d'évaluation mondiale de l'IPBES (Plateforme intergouvernementale sur la biodiversité et les services écosystémiques), équivalent du GIEC pour la biodiversité, alertait sur la rapidité et l'ampleur de l'érosion de la biodiversité, estimant qu'environ 1 million d'espèces animales et végétales sont menacées d'extinction.</w:t>
      </w:r>
    </w:p>
    <w:p w14:paraId="0E9460C3" w14:textId="77777777" w:rsidR="00401644" w:rsidRPr="001167E5" w:rsidRDefault="00401644" w:rsidP="001167E5"/>
    <w:p w14:paraId="3EEA4FF0" w14:textId="150E92C7" w:rsidR="00C60ECA" w:rsidRDefault="001167E5" w:rsidP="001167E5">
      <w:r w:rsidRPr="001167E5">
        <w:t>La biodiversité fournit de nombreux services gratuits aux entreprises, appelés services écosystémiques. Par leurs activités, les entreprises exercent des pressions sur la biodiversité, qui contribuent à la dégradation de ces services écosystémiques, induisant ainsi un risque pour leurs activités. En effet, le rapport Nature Risk Rising, produit par le Forum économique mondial avec PwC, estime que plus de 50 % du PIB mondial dépend fortement ou modérément des services fournis par la nature.</w:t>
      </w:r>
    </w:p>
    <w:p w14:paraId="339EC5D9" w14:textId="2FEA67DE" w:rsidR="00A61BF7" w:rsidRPr="007E483F" w:rsidRDefault="00A61BF7" w:rsidP="001167E5">
      <w:r>
        <w:t xml:space="preserve">Bpifrance </w:t>
      </w:r>
      <w:r w:rsidR="0037100B">
        <w:t>est en cours de formalisation de sa feuille de route Biodiversité</w:t>
      </w:r>
      <w:r w:rsidR="0051129B">
        <w:t>. Celle-ci devrait voir le jour en 2023.</w:t>
      </w:r>
    </w:p>
    <w:p w14:paraId="3E09774A" w14:textId="5A356376" w:rsidR="00C60ECA" w:rsidRDefault="00F81B6B" w:rsidP="00306121">
      <w:pPr>
        <w:pStyle w:val="Titre2"/>
      </w:pPr>
      <w:bookmarkStart w:id="66" w:name="_Toc139042748"/>
      <w:r>
        <w:t>R</w:t>
      </w:r>
      <w:r w:rsidR="00C60ECA" w:rsidRPr="007E483F">
        <w:t xml:space="preserve">espect des objectifs </w:t>
      </w:r>
      <w:r w:rsidR="002718CF">
        <w:t>de</w:t>
      </w:r>
      <w:r w:rsidR="00C60ECA" w:rsidRPr="007E483F">
        <w:t xml:space="preserve"> la Convention sur la diversité biologique </w:t>
      </w:r>
      <w:r w:rsidR="002718CF">
        <w:t>du</w:t>
      </w:r>
      <w:r w:rsidR="00C60ECA" w:rsidRPr="007E483F">
        <w:t xml:space="preserve"> 5 juin 1992</w:t>
      </w:r>
      <w:bookmarkEnd w:id="66"/>
    </w:p>
    <w:p w14:paraId="42241BC9" w14:textId="0A2053AE" w:rsidR="00B9004F" w:rsidRPr="000A42AB" w:rsidRDefault="00B9004F" w:rsidP="00B9004F">
      <w:pPr>
        <w:rPr>
          <w:rFonts w:cstheme="minorHAnsi"/>
        </w:rPr>
      </w:pPr>
      <w:r w:rsidRPr="000A42AB">
        <w:rPr>
          <w:rFonts w:cstheme="minorHAnsi"/>
        </w:rPr>
        <w:t xml:space="preserve">Bpifrance est partenaire de CDC Biodiversité dans le cadre notamment du Programme Nature 2050, </w:t>
      </w:r>
      <w:r w:rsidR="00212A6E">
        <w:rPr>
          <w:rFonts w:cstheme="minorHAnsi"/>
        </w:rPr>
        <w:t xml:space="preserve">et </w:t>
      </w:r>
      <w:r w:rsidRPr="000A42AB">
        <w:rPr>
          <w:rFonts w:cstheme="minorHAnsi"/>
        </w:rPr>
        <w:t>membre du Club B4B+ (Club des entreprises pour une biodiversité positive depuis 2016 et membre du comité de pilotage «</w:t>
      </w:r>
      <w:r w:rsidR="00401644">
        <w:rPr>
          <w:rFonts w:cstheme="minorHAnsi"/>
        </w:rPr>
        <w:t> </w:t>
      </w:r>
      <w:r w:rsidRPr="000A42AB">
        <w:rPr>
          <w:rFonts w:cstheme="minorHAnsi"/>
        </w:rPr>
        <w:t xml:space="preserve">Entreprises Engagées pour la Nature – act4nature </w:t>
      </w:r>
      <w:r w:rsidR="00401644">
        <w:rPr>
          <w:rFonts w:cstheme="minorHAnsi"/>
        </w:rPr>
        <w:t>France </w:t>
      </w:r>
      <w:r w:rsidRPr="000A42AB">
        <w:rPr>
          <w:rFonts w:cstheme="minorHAnsi"/>
        </w:rPr>
        <w:t>».).</w:t>
      </w:r>
    </w:p>
    <w:p w14:paraId="0C322834" w14:textId="6984FAD5" w:rsidR="00C60ECA" w:rsidRDefault="00A2451F" w:rsidP="00306121">
      <w:pPr>
        <w:pStyle w:val="Titre2"/>
      </w:pPr>
      <w:bookmarkStart w:id="67" w:name="_Toc139042749"/>
      <w:r>
        <w:t>A</w:t>
      </w:r>
      <w:r w:rsidR="00C60ECA" w:rsidRPr="007E483F">
        <w:t>nalyse de la contribution à la réduction des principales pressions et impacts sur la biodiversité</w:t>
      </w:r>
      <w:bookmarkEnd w:id="67"/>
    </w:p>
    <w:p w14:paraId="57FD4281" w14:textId="73C70725" w:rsidR="0051129B" w:rsidRPr="0051129B" w:rsidRDefault="00673F05" w:rsidP="0051129B">
      <w:r>
        <w:t xml:space="preserve">Bpifrance </w:t>
      </w:r>
      <w:r w:rsidR="00805B96">
        <w:t>est</w:t>
      </w:r>
      <w:r>
        <w:t xml:space="preserve"> en cours de formalisation de sa feuille de route Biodiversité</w:t>
      </w:r>
      <w:r w:rsidR="005945A8">
        <w:t>. Néanmoins, pour mieux comprendre les impacts des investissements sur la biodiversité et amorcer la réflexion de la réduction des principales pressions, Bpifrance Investissement a fait réaliser une étude sur son portefeuille coté, détaillée ci-dessous.</w:t>
      </w:r>
    </w:p>
    <w:p w14:paraId="565FF2B9" w14:textId="7AFF8583" w:rsidR="000F7FED" w:rsidRDefault="002718CF" w:rsidP="00306121">
      <w:pPr>
        <w:pStyle w:val="Titre2"/>
      </w:pPr>
      <w:bookmarkStart w:id="68" w:name="_Toc139042750"/>
      <w:r>
        <w:t>I</w:t>
      </w:r>
      <w:r w:rsidR="00C60ECA" w:rsidRPr="007E483F">
        <w:t>ndicateur d'empreinte biodiversité</w:t>
      </w:r>
      <w:bookmarkEnd w:id="68"/>
    </w:p>
    <w:p w14:paraId="6D9DD8EB" w14:textId="7E95D80B" w:rsidR="00EB524D" w:rsidRDefault="00EB524D" w:rsidP="00BF7654">
      <w:pPr>
        <w:pStyle w:val="Titre3"/>
      </w:pPr>
      <w:bookmarkStart w:id="69" w:name="_Toc139042751"/>
      <w:r>
        <w:t>Activité Grandes Entreprises</w:t>
      </w:r>
      <w:bookmarkEnd w:id="69"/>
      <w:r>
        <w:t xml:space="preserve"> </w:t>
      </w:r>
    </w:p>
    <w:p w14:paraId="5B97992B" w14:textId="2AFDA445" w:rsidR="00EB524D" w:rsidRDefault="00EB524D" w:rsidP="00EB524D">
      <w:r>
        <w:t xml:space="preserve">En tant que membre du Club B4B+ (Business for Positive </w:t>
      </w:r>
      <w:r w:rsidRPr="00AB0FA5">
        <w:t>Biodiversity</w:t>
      </w:r>
      <w:r>
        <w:t>), Bpifrance a choisi d’utiliser l</w:t>
      </w:r>
      <w:r w:rsidR="00F735FE">
        <w:t>a méthodologie</w:t>
      </w:r>
      <w:r>
        <w:t xml:space="preserve"> </w:t>
      </w:r>
      <w:r w:rsidR="00AB0FA5" w:rsidRPr="00AB0FA5">
        <w:t>Biodiversity</w:t>
      </w:r>
      <w:r w:rsidR="00AB0FA5">
        <w:t xml:space="preserve"> </w:t>
      </w:r>
      <w:r w:rsidR="004D2598">
        <w:t xml:space="preserve">Impact Analytics du Global </w:t>
      </w:r>
      <w:r w:rsidR="00AB0FA5" w:rsidRPr="00AB0FA5">
        <w:t>Biodiversity</w:t>
      </w:r>
      <w:r w:rsidR="00AB0FA5">
        <w:t xml:space="preserve"> </w:t>
      </w:r>
      <w:r w:rsidR="004D2598">
        <w:t>Score (BIA-GBS)</w:t>
      </w:r>
      <w:r>
        <w:t>, pour mesurer l’empreinte biodiversité d</w:t>
      </w:r>
      <w:r w:rsidR="00F735FE">
        <w:t xml:space="preserve">e son portefeuille coté, en distinguant le </w:t>
      </w:r>
      <w:r>
        <w:t>fonds Lac1</w:t>
      </w:r>
      <w:r w:rsidR="00F735FE">
        <w:t xml:space="preserve"> (classé </w:t>
      </w:r>
      <w:r w:rsidR="003D4BE7">
        <w:t>‘</w:t>
      </w:r>
      <w:r w:rsidR="00F735FE">
        <w:t>article 8</w:t>
      </w:r>
      <w:r w:rsidR="003D4BE7">
        <w:t>’</w:t>
      </w:r>
      <w:r w:rsidR="00F735FE">
        <w:t xml:space="preserve"> au sens de la SFDR)</w:t>
      </w:r>
      <w:r w:rsidR="005D1BBA">
        <w:t xml:space="preserve"> du reste du portefeuille</w:t>
      </w:r>
      <w:r w:rsidR="001F7A15">
        <w:t xml:space="preserve"> coté</w:t>
      </w:r>
      <w:r>
        <w:t xml:space="preserve">. L’évaluation de l’empreinte biodiversité des entreprises du portefeuille a été réalisée sur la base d’informations publiques d’une part et d’entretiens dédiés avec les représentants de chacune des entreprises d’autre part. </w:t>
      </w:r>
    </w:p>
    <w:p w14:paraId="61DBF2BE" w14:textId="77777777" w:rsidR="00EB524D" w:rsidRDefault="00EB524D" w:rsidP="00EB524D"/>
    <w:p w14:paraId="6155D4D8" w14:textId="38800981" w:rsidR="00EB524D" w:rsidRDefault="00DC59F6" w:rsidP="00DC59F6">
      <w:pPr>
        <w:pStyle w:val="Titre4"/>
      </w:pPr>
      <w:r>
        <w:t>Mét</w:t>
      </w:r>
      <w:r w:rsidR="004D2598">
        <w:t>hodologie</w:t>
      </w:r>
    </w:p>
    <w:p w14:paraId="33D39773" w14:textId="70FF0413" w:rsidR="004D2598" w:rsidRDefault="004D2598" w:rsidP="004D2598">
      <w:r>
        <w:t>L'outil BIA-GBS</w:t>
      </w:r>
      <w:r w:rsidR="0019475B">
        <w:t>™</w:t>
      </w:r>
      <w:r>
        <w:t>, développé par Carbon 4 Finance (C4F)</w:t>
      </w:r>
      <w:r w:rsidR="0019475B">
        <w:t xml:space="preserve">, </w:t>
      </w:r>
      <w:r w:rsidR="00B57AC8">
        <w:t xml:space="preserve">utilise </w:t>
      </w:r>
      <w:r>
        <w:t xml:space="preserve">des données financières (actifs par actifs) de C4F et des données de biodiversité de l'outil Global </w:t>
      </w:r>
      <w:r w:rsidR="00AB0FA5" w:rsidRPr="00AB0FA5">
        <w:t>Biodiversity</w:t>
      </w:r>
      <w:r w:rsidR="00AB0FA5">
        <w:t xml:space="preserve"> </w:t>
      </w:r>
      <w:r>
        <w:t xml:space="preserve">Score (GBS) qui a été créé par CDC-Biodiversité. </w:t>
      </w:r>
    </w:p>
    <w:p w14:paraId="5765D86A" w14:textId="77777777" w:rsidR="004D2598" w:rsidRDefault="004D2598" w:rsidP="004D2598">
      <w:r>
        <w:t>L'empreinte biodiversité est quantifiée en MSA.km² (Mean Species Abundance). Un impact de 1km² équivaut à l'artificialisation de 1km² de surface non perturbée.</w:t>
      </w:r>
    </w:p>
    <w:p w14:paraId="792C38D7" w14:textId="77777777" w:rsidR="004D2598" w:rsidRDefault="004D2598" w:rsidP="004D2598"/>
    <w:p w14:paraId="572BEE50" w14:textId="2D33E67A" w:rsidR="004D2598" w:rsidRDefault="004D2598" w:rsidP="004D2598">
      <w:r>
        <w:t xml:space="preserve">Les BIA-GBS calculent séparément les impacts statiques et les impacts dynamiques. Les impacts statiques représentent tous les effets persistants qui demeurent dans le temps. Ils peuvent résulter des pressions spatiales (utilisation des terres, fragmentation, empiètement) liées aux installations existantes et de l'effet persistant (et </w:t>
      </w:r>
      <w:r>
        <w:lastRenderedPageBreak/>
        <w:t>constant) de la pollution passée qui continue d'avoir un impact sur la biodiversité. Les impacts dynamiques sont causés par des changements, des consommations ou des restaurations au cours de la période évaluée.</w:t>
      </w:r>
    </w:p>
    <w:p w14:paraId="3B1D8F57" w14:textId="5DDFE730" w:rsidR="005945A8" w:rsidRPr="004D2598" w:rsidRDefault="005945A8" w:rsidP="004D2598">
      <w:r>
        <w:t xml:space="preserve">Une analyse de dépendance aux services écosystémiques est également réalisée, laquelle évalue l’exposition aux risques physiques de la biodiversité. </w:t>
      </w:r>
      <w:r w:rsidR="00F14096">
        <w:t>Celle-ci</w:t>
      </w:r>
      <w:r>
        <w:t xml:space="preserve"> est calculée à partir des secteurs d’activités de l’entreprise</w:t>
      </w:r>
      <w:r w:rsidR="00602932">
        <w:t xml:space="preserve"> (scope 1)</w:t>
      </w:r>
      <w:r>
        <w:t xml:space="preserve">, ainsi que les </w:t>
      </w:r>
      <w:r w:rsidR="00602932">
        <w:t>ceux</w:t>
      </w:r>
      <w:r>
        <w:t xml:space="preserve"> de sa chaine de valeur amont</w:t>
      </w:r>
      <w:r w:rsidR="00602932">
        <w:t xml:space="preserve"> (scope 3 amont), selon leur dépendance à 21 services écosystémiques.</w:t>
      </w:r>
    </w:p>
    <w:p w14:paraId="09DDD46E" w14:textId="77777777" w:rsidR="00DC59F6" w:rsidRDefault="00DC59F6" w:rsidP="00EB524D"/>
    <w:p w14:paraId="4F47D66F" w14:textId="53B8B9CE" w:rsidR="008A75CC" w:rsidRDefault="008A75CC" w:rsidP="008A75CC">
      <w:pPr>
        <w:pStyle w:val="Titre4"/>
      </w:pPr>
      <w:r>
        <w:t>Résultats pour le fonds Lac1</w:t>
      </w:r>
    </w:p>
    <w:p w14:paraId="6A0D630E" w14:textId="77777777" w:rsidR="009D2141" w:rsidRPr="002C3EA7" w:rsidRDefault="009D2141" w:rsidP="009D2141"/>
    <w:p w14:paraId="30F667AE" w14:textId="17C8DC3D" w:rsidR="009D2141" w:rsidRPr="00937348" w:rsidRDefault="009D2141" w:rsidP="009D2141">
      <w:pPr>
        <w:rPr>
          <w:b/>
          <w:bCs/>
        </w:rPr>
      </w:pPr>
      <w:r w:rsidRPr="00937348">
        <w:rPr>
          <w:b/>
          <w:bCs/>
        </w:rPr>
        <w:t xml:space="preserve">Impact biodiversité du fonds Lac1 (MSA.km²) </w:t>
      </w:r>
    </w:p>
    <w:tbl>
      <w:tblPr>
        <w:tblStyle w:val="Grilledutableau"/>
        <w:tblW w:w="0" w:type="auto"/>
        <w:tblBorders>
          <w:top w:val="none" w:sz="0" w:space="0" w:color="auto"/>
          <w:left w:val="none" w:sz="0" w:space="0" w:color="auto"/>
        </w:tblBorders>
        <w:tblLook w:val="04A0" w:firstRow="1" w:lastRow="0" w:firstColumn="1" w:lastColumn="0" w:noHBand="0" w:noVBand="1"/>
      </w:tblPr>
      <w:tblGrid>
        <w:gridCol w:w="3398"/>
        <w:gridCol w:w="3398"/>
        <w:gridCol w:w="3398"/>
      </w:tblGrid>
      <w:tr w:rsidR="009D2141" w:rsidRPr="00937348" w14:paraId="793BA8CB" w14:textId="77777777" w:rsidTr="001F22E9">
        <w:tc>
          <w:tcPr>
            <w:tcW w:w="3398" w:type="dxa"/>
            <w:tcBorders>
              <w:bottom w:val="single" w:sz="4" w:space="0" w:color="auto"/>
            </w:tcBorders>
          </w:tcPr>
          <w:p w14:paraId="77F43954" w14:textId="77777777" w:rsidR="009D2141" w:rsidRPr="00937348" w:rsidRDefault="009D2141" w:rsidP="001F22E9"/>
        </w:tc>
        <w:tc>
          <w:tcPr>
            <w:tcW w:w="3398" w:type="dxa"/>
            <w:tcBorders>
              <w:top w:val="single" w:sz="4" w:space="0" w:color="auto"/>
            </w:tcBorders>
            <w:shd w:val="clear" w:color="auto" w:fill="786E64" w:themeFill="accent2"/>
          </w:tcPr>
          <w:p w14:paraId="6F48316A" w14:textId="791533FC" w:rsidR="009D2141" w:rsidRPr="00937348" w:rsidRDefault="009D2141" w:rsidP="001F22E9">
            <w:pPr>
              <w:jc w:val="center"/>
              <w:rPr>
                <w:b/>
                <w:bCs/>
                <w:color w:val="FFFFFF" w:themeColor="background1"/>
              </w:rPr>
            </w:pPr>
            <w:r w:rsidRPr="00937348">
              <w:rPr>
                <w:b/>
                <w:bCs/>
                <w:color w:val="FFFFFF" w:themeColor="background1"/>
              </w:rPr>
              <w:t>Dynamique</w:t>
            </w:r>
          </w:p>
        </w:tc>
        <w:tc>
          <w:tcPr>
            <w:tcW w:w="3398" w:type="dxa"/>
            <w:tcBorders>
              <w:top w:val="single" w:sz="4" w:space="0" w:color="auto"/>
            </w:tcBorders>
            <w:shd w:val="clear" w:color="auto" w:fill="786E64" w:themeFill="accent2"/>
          </w:tcPr>
          <w:p w14:paraId="3F9CB0E9" w14:textId="6B3010D5" w:rsidR="009D2141" w:rsidRPr="00937348" w:rsidRDefault="009D2141" w:rsidP="001F22E9">
            <w:pPr>
              <w:jc w:val="center"/>
              <w:rPr>
                <w:b/>
                <w:bCs/>
                <w:color w:val="FFFFFF" w:themeColor="background1"/>
              </w:rPr>
            </w:pPr>
            <w:r w:rsidRPr="00937348">
              <w:rPr>
                <w:b/>
                <w:bCs/>
                <w:color w:val="FFFFFF" w:themeColor="background1"/>
              </w:rPr>
              <w:t>Stati</w:t>
            </w:r>
            <w:r w:rsidR="00AF5B36" w:rsidRPr="00937348">
              <w:rPr>
                <w:b/>
                <w:bCs/>
                <w:color w:val="FFFFFF" w:themeColor="background1"/>
              </w:rPr>
              <w:t>que</w:t>
            </w:r>
          </w:p>
        </w:tc>
      </w:tr>
      <w:tr w:rsidR="009D2141" w:rsidRPr="00937348" w14:paraId="5FBA2DB0" w14:textId="77777777" w:rsidTr="001F22E9">
        <w:tc>
          <w:tcPr>
            <w:tcW w:w="3398" w:type="dxa"/>
            <w:tcBorders>
              <w:top w:val="single" w:sz="4" w:space="0" w:color="auto"/>
              <w:left w:val="single" w:sz="4" w:space="0" w:color="auto"/>
            </w:tcBorders>
          </w:tcPr>
          <w:p w14:paraId="00C75EE6" w14:textId="0D155125" w:rsidR="009D2141" w:rsidRPr="00937348" w:rsidRDefault="009D2141" w:rsidP="001F22E9">
            <w:r w:rsidRPr="00937348">
              <w:t>Aquatique</w:t>
            </w:r>
          </w:p>
        </w:tc>
        <w:tc>
          <w:tcPr>
            <w:tcW w:w="3398" w:type="dxa"/>
          </w:tcPr>
          <w:p w14:paraId="7B904770" w14:textId="79CA6782" w:rsidR="009D2141" w:rsidRPr="00937348" w:rsidRDefault="009D2141" w:rsidP="001F22E9">
            <w:pPr>
              <w:jc w:val="center"/>
            </w:pPr>
            <w:r w:rsidRPr="00937348">
              <w:t>0</w:t>
            </w:r>
            <w:r w:rsidR="00937348">
              <w:t>,</w:t>
            </w:r>
            <w:r w:rsidRPr="00937348">
              <w:t>14</w:t>
            </w:r>
          </w:p>
        </w:tc>
        <w:tc>
          <w:tcPr>
            <w:tcW w:w="3398" w:type="dxa"/>
          </w:tcPr>
          <w:p w14:paraId="69118221" w14:textId="45D8CCC1" w:rsidR="009D2141" w:rsidRPr="00937348" w:rsidRDefault="009D2141" w:rsidP="001F22E9">
            <w:pPr>
              <w:jc w:val="center"/>
            </w:pPr>
            <w:r w:rsidRPr="00937348">
              <w:t>17</w:t>
            </w:r>
            <w:r w:rsidR="00937348">
              <w:t>,</w:t>
            </w:r>
            <w:r w:rsidRPr="00937348">
              <w:t>1</w:t>
            </w:r>
          </w:p>
        </w:tc>
      </w:tr>
      <w:tr w:rsidR="009D2141" w:rsidRPr="00937348" w14:paraId="6A4AED14" w14:textId="77777777" w:rsidTr="001F22E9">
        <w:tc>
          <w:tcPr>
            <w:tcW w:w="3398" w:type="dxa"/>
            <w:tcBorders>
              <w:top w:val="single" w:sz="4" w:space="0" w:color="auto"/>
              <w:left w:val="single" w:sz="4" w:space="0" w:color="auto"/>
            </w:tcBorders>
          </w:tcPr>
          <w:p w14:paraId="0477A2E4" w14:textId="77EA5FDA" w:rsidR="009D2141" w:rsidRPr="00937348" w:rsidRDefault="009D2141" w:rsidP="001F22E9">
            <w:r w:rsidRPr="00937348">
              <w:t>Terrestre</w:t>
            </w:r>
          </w:p>
        </w:tc>
        <w:tc>
          <w:tcPr>
            <w:tcW w:w="3398" w:type="dxa"/>
          </w:tcPr>
          <w:p w14:paraId="7CB0B228" w14:textId="30698CF7" w:rsidR="009D2141" w:rsidRPr="00937348" w:rsidRDefault="009D2141" w:rsidP="001F22E9">
            <w:pPr>
              <w:jc w:val="center"/>
            </w:pPr>
            <w:r w:rsidRPr="00937348">
              <w:t>9</w:t>
            </w:r>
            <w:r w:rsidR="00937348">
              <w:t>,</w:t>
            </w:r>
            <w:r w:rsidRPr="00937348">
              <w:t>6</w:t>
            </w:r>
          </w:p>
        </w:tc>
        <w:tc>
          <w:tcPr>
            <w:tcW w:w="3398" w:type="dxa"/>
          </w:tcPr>
          <w:p w14:paraId="21AFA49D" w14:textId="4775B38B" w:rsidR="009D2141" w:rsidRPr="00937348" w:rsidRDefault="009D2141" w:rsidP="001F22E9">
            <w:pPr>
              <w:jc w:val="center"/>
            </w:pPr>
            <w:r w:rsidRPr="00937348">
              <w:t>237</w:t>
            </w:r>
            <w:r w:rsidR="00937348">
              <w:t>,</w:t>
            </w:r>
            <w:r w:rsidRPr="00937348">
              <w:t>4</w:t>
            </w:r>
          </w:p>
        </w:tc>
      </w:tr>
    </w:tbl>
    <w:p w14:paraId="5776147F" w14:textId="14C89FFC" w:rsidR="009D2141" w:rsidRPr="00937348" w:rsidRDefault="009D2141" w:rsidP="009D2141">
      <w:pPr>
        <w:rPr>
          <w:rStyle w:val="Rfrencelgre"/>
        </w:rPr>
      </w:pPr>
      <w:r w:rsidRPr="00937348">
        <w:rPr>
          <w:rStyle w:val="Rfrencelgre"/>
        </w:rPr>
        <w:t>Source</w:t>
      </w:r>
      <w:r w:rsidR="00454B78" w:rsidRPr="00937348">
        <w:rPr>
          <w:rStyle w:val="Rfrencelgre"/>
        </w:rPr>
        <w:t> </w:t>
      </w:r>
      <w:r w:rsidRPr="00937348">
        <w:rPr>
          <w:rStyle w:val="Rfrencelgre"/>
        </w:rPr>
        <w:t xml:space="preserve">: </w:t>
      </w:r>
      <w:r w:rsidR="00AF5B36" w:rsidRPr="00937348">
        <w:rPr>
          <w:rStyle w:val="Rfrencelgre"/>
        </w:rPr>
        <w:t>BIA-GBS™</w:t>
      </w:r>
      <w:r w:rsidRPr="00937348">
        <w:rPr>
          <w:rStyle w:val="Rfrencelgre"/>
        </w:rPr>
        <w:t xml:space="preserve"> database. GBS 1.1.0, Carbon4 Finance</w:t>
      </w:r>
    </w:p>
    <w:p w14:paraId="723539C8" w14:textId="77777777" w:rsidR="008A31E2" w:rsidRPr="00937348" w:rsidRDefault="008A31E2" w:rsidP="008A31E2"/>
    <w:p w14:paraId="3749FA30" w14:textId="54A46ED8" w:rsidR="009D2141" w:rsidRPr="00937348" w:rsidRDefault="008A31E2" w:rsidP="008A31E2">
      <w:r w:rsidRPr="00937348">
        <w:t>L'impact statique terrestre équivaut à 1 795 terrains de football, tandis que l'impact dynamique terrestre équivaut à 2,3 fois la taille de Paris.</w:t>
      </w:r>
    </w:p>
    <w:p w14:paraId="63D23D8D" w14:textId="77777777" w:rsidR="008A31E2" w:rsidRPr="00937348" w:rsidRDefault="008A31E2" w:rsidP="008A31E2"/>
    <w:p w14:paraId="20F44FBD" w14:textId="77777777" w:rsidR="008A31E2" w:rsidRPr="00937348" w:rsidRDefault="008A31E2" w:rsidP="008A31E2"/>
    <w:p w14:paraId="2C0FC1EE" w14:textId="325BF280" w:rsidR="009D2141" w:rsidRPr="00937348" w:rsidRDefault="00937348" w:rsidP="009D2141">
      <w:pPr>
        <w:rPr>
          <w:b/>
          <w:bCs/>
        </w:rPr>
      </w:pPr>
      <w:r w:rsidRPr="00937348">
        <w:rPr>
          <w:b/>
          <w:bCs/>
        </w:rPr>
        <w:t xml:space="preserve">Intensité biodiversité du fonds Lac1 </w:t>
      </w:r>
      <w:r w:rsidR="009D2141" w:rsidRPr="00937348">
        <w:rPr>
          <w:b/>
          <w:bCs/>
        </w:rPr>
        <w:t>(MSA.m²/k€ i</w:t>
      </w:r>
      <w:r w:rsidRPr="00937348">
        <w:rPr>
          <w:b/>
          <w:bCs/>
        </w:rPr>
        <w:t>nvestis</w:t>
      </w:r>
      <w:r w:rsidR="009D2141" w:rsidRPr="00937348">
        <w:rPr>
          <w:b/>
          <w:bCs/>
        </w:rPr>
        <w:t>)</w:t>
      </w:r>
    </w:p>
    <w:p w14:paraId="738F8DAA" w14:textId="77777777" w:rsidR="009D2141" w:rsidRPr="00937348" w:rsidRDefault="009D2141" w:rsidP="009D2141"/>
    <w:tbl>
      <w:tblPr>
        <w:tblStyle w:val="Grilledutableau"/>
        <w:tblW w:w="0" w:type="auto"/>
        <w:tblBorders>
          <w:top w:val="none" w:sz="0" w:space="0" w:color="auto"/>
          <w:left w:val="none" w:sz="0" w:space="0" w:color="auto"/>
        </w:tblBorders>
        <w:tblLook w:val="04A0" w:firstRow="1" w:lastRow="0" w:firstColumn="1" w:lastColumn="0" w:noHBand="0" w:noVBand="1"/>
      </w:tblPr>
      <w:tblGrid>
        <w:gridCol w:w="3398"/>
        <w:gridCol w:w="3398"/>
        <w:gridCol w:w="3398"/>
      </w:tblGrid>
      <w:tr w:rsidR="00937348" w:rsidRPr="00937348" w14:paraId="02008EE3" w14:textId="77777777" w:rsidTr="001F22E9">
        <w:tc>
          <w:tcPr>
            <w:tcW w:w="3398" w:type="dxa"/>
            <w:tcBorders>
              <w:bottom w:val="single" w:sz="4" w:space="0" w:color="auto"/>
            </w:tcBorders>
          </w:tcPr>
          <w:p w14:paraId="653ABA87" w14:textId="77777777" w:rsidR="00937348" w:rsidRPr="00937348" w:rsidRDefault="00937348" w:rsidP="00937348"/>
        </w:tc>
        <w:tc>
          <w:tcPr>
            <w:tcW w:w="3398" w:type="dxa"/>
            <w:tcBorders>
              <w:top w:val="single" w:sz="4" w:space="0" w:color="auto"/>
            </w:tcBorders>
            <w:shd w:val="clear" w:color="auto" w:fill="786E64" w:themeFill="accent2"/>
          </w:tcPr>
          <w:p w14:paraId="1912ABFB" w14:textId="5E17212B" w:rsidR="00937348" w:rsidRPr="00937348" w:rsidRDefault="00937348" w:rsidP="00937348">
            <w:pPr>
              <w:jc w:val="center"/>
              <w:rPr>
                <w:b/>
                <w:bCs/>
                <w:color w:val="FFFFFF" w:themeColor="background1"/>
              </w:rPr>
            </w:pPr>
            <w:r w:rsidRPr="00937348">
              <w:rPr>
                <w:b/>
                <w:bCs/>
                <w:color w:val="FFFFFF" w:themeColor="background1"/>
              </w:rPr>
              <w:t>Dynamique</w:t>
            </w:r>
          </w:p>
        </w:tc>
        <w:tc>
          <w:tcPr>
            <w:tcW w:w="3398" w:type="dxa"/>
            <w:tcBorders>
              <w:top w:val="single" w:sz="4" w:space="0" w:color="auto"/>
            </w:tcBorders>
            <w:shd w:val="clear" w:color="auto" w:fill="786E64" w:themeFill="accent2"/>
          </w:tcPr>
          <w:p w14:paraId="7C5C74FA" w14:textId="611C04C9" w:rsidR="00937348" w:rsidRPr="00937348" w:rsidRDefault="00937348" w:rsidP="00937348">
            <w:pPr>
              <w:jc w:val="center"/>
              <w:rPr>
                <w:b/>
                <w:bCs/>
                <w:color w:val="FFFFFF" w:themeColor="background1"/>
              </w:rPr>
            </w:pPr>
            <w:r w:rsidRPr="00937348">
              <w:rPr>
                <w:b/>
                <w:bCs/>
                <w:color w:val="FFFFFF" w:themeColor="background1"/>
              </w:rPr>
              <w:t>Statique</w:t>
            </w:r>
          </w:p>
        </w:tc>
      </w:tr>
      <w:tr w:rsidR="00937348" w:rsidRPr="00937348" w14:paraId="49E8C752" w14:textId="77777777" w:rsidTr="001F22E9">
        <w:tc>
          <w:tcPr>
            <w:tcW w:w="3398" w:type="dxa"/>
            <w:tcBorders>
              <w:top w:val="single" w:sz="4" w:space="0" w:color="auto"/>
              <w:left w:val="single" w:sz="4" w:space="0" w:color="auto"/>
            </w:tcBorders>
          </w:tcPr>
          <w:p w14:paraId="6A765BE0" w14:textId="44472B29" w:rsidR="00937348" w:rsidRPr="00937348" w:rsidRDefault="00937348" w:rsidP="00937348">
            <w:r w:rsidRPr="00937348">
              <w:t>Aquatique</w:t>
            </w:r>
          </w:p>
        </w:tc>
        <w:tc>
          <w:tcPr>
            <w:tcW w:w="3398" w:type="dxa"/>
          </w:tcPr>
          <w:p w14:paraId="59AF902B" w14:textId="7A7E7A6C" w:rsidR="00937348" w:rsidRPr="00937348" w:rsidRDefault="00937348" w:rsidP="00937348">
            <w:pPr>
              <w:jc w:val="center"/>
            </w:pPr>
            <w:r w:rsidRPr="00937348">
              <w:t>0</w:t>
            </w:r>
            <w:r>
              <w:t>,</w:t>
            </w:r>
            <w:r w:rsidRPr="00937348">
              <w:t>06</w:t>
            </w:r>
          </w:p>
        </w:tc>
        <w:tc>
          <w:tcPr>
            <w:tcW w:w="3398" w:type="dxa"/>
          </w:tcPr>
          <w:p w14:paraId="3F3AB2C3" w14:textId="04F3C7D2" w:rsidR="00937348" w:rsidRPr="00937348" w:rsidRDefault="00937348" w:rsidP="00937348">
            <w:pPr>
              <w:jc w:val="center"/>
            </w:pPr>
            <w:r w:rsidRPr="00937348">
              <w:t>6</w:t>
            </w:r>
            <w:r>
              <w:t>,</w:t>
            </w:r>
            <w:r w:rsidRPr="00937348">
              <w:t>9</w:t>
            </w:r>
          </w:p>
        </w:tc>
      </w:tr>
      <w:tr w:rsidR="00937348" w:rsidRPr="00937348" w14:paraId="0537E826" w14:textId="77777777" w:rsidTr="001F22E9">
        <w:tc>
          <w:tcPr>
            <w:tcW w:w="3398" w:type="dxa"/>
            <w:tcBorders>
              <w:top w:val="single" w:sz="4" w:space="0" w:color="auto"/>
              <w:left w:val="single" w:sz="4" w:space="0" w:color="auto"/>
            </w:tcBorders>
          </w:tcPr>
          <w:p w14:paraId="02335E86" w14:textId="7F8DF984" w:rsidR="00937348" w:rsidRPr="00937348" w:rsidRDefault="00937348" w:rsidP="00937348">
            <w:r w:rsidRPr="00937348">
              <w:t>Terrestre</w:t>
            </w:r>
          </w:p>
        </w:tc>
        <w:tc>
          <w:tcPr>
            <w:tcW w:w="3398" w:type="dxa"/>
          </w:tcPr>
          <w:p w14:paraId="07BDE3F8" w14:textId="5A3D1806" w:rsidR="00937348" w:rsidRPr="00937348" w:rsidRDefault="00937348" w:rsidP="00937348">
            <w:pPr>
              <w:jc w:val="center"/>
            </w:pPr>
            <w:r w:rsidRPr="00937348">
              <w:t>3</w:t>
            </w:r>
            <w:r>
              <w:t>,</w:t>
            </w:r>
            <w:r w:rsidRPr="00937348">
              <w:t>9</w:t>
            </w:r>
          </w:p>
        </w:tc>
        <w:tc>
          <w:tcPr>
            <w:tcW w:w="3398" w:type="dxa"/>
          </w:tcPr>
          <w:p w14:paraId="1ADF57CC" w14:textId="60851C61" w:rsidR="00937348" w:rsidRPr="00937348" w:rsidRDefault="00937348" w:rsidP="00937348">
            <w:pPr>
              <w:jc w:val="center"/>
            </w:pPr>
            <w:r w:rsidRPr="00937348">
              <w:t>96</w:t>
            </w:r>
            <w:r>
              <w:t>,</w:t>
            </w:r>
            <w:r w:rsidRPr="00937348">
              <w:t>2</w:t>
            </w:r>
          </w:p>
        </w:tc>
      </w:tr>
    </w:tbl>
    <w:p w14:paraId="361CF464" w14:textId="77777777" w:rsidR="00454B78" w:rsidRPr="00937348" w:rsidRDefault="00454B78" w:rsidP="00454B78">
      <w:pPr>
        <w:rPr>
          <w:rStyle w:val="Rfrencelgre"/>
        </w:rPr>
      </w:pPr>
      <w:r w:rsidRPr="00937348">
        <w:rPr>
          <w:rStyle w:val="Rfrencelgre"/>
        </w:rPr>
        <w:t>Source : BIA-GBS™ database. GBS 1.1.0, Carbon4 Finance</w:t>
      </w:r>
    </w:p>
    <w:p w14:paraId="4CD1A321" w14:textId="43BFF4BE" w:rsidR="009D2141" w:rsidRPr="00937348" w:rsidRDefault="009D2141" w:rsidP="009D2141"/>
    <w:p w14:paraId="72146265" w14:textId="0E88E994" w:rsidR="006F3072" w:rsidRDefault="006F3072" w:rsidP="009D2141">
      <w:r w:rsidRPr="006F3072">
        <w:t>En raison d'un changement d'outil et de périmètre, l'empreinte et l'intensité de la biodiversité en 2022 ne sont pas comparables aux résultats de l'année dernière.</w:t>
      </w:r>
    </w:p>
    <w:p w14:paraId="5CF3F8C4" w14:textId="77777777" w:rsidR="006F3072" w:rsidRPr="006F3072" w:rsidRDefault="006F3072" w:rsidP="009D2141"/>
    <w:p w14:paraId="752FFEF0" w14:textId="1D4660B1" w:rsidR="009D2141" w:rsidRDefault="006F3072" w:rsidP="009D2141">
      <w:pPr>
        <w:rPr>
          <w:b/>
          <w:bCs/>
        </w:rPr>
      </w:pPr>
      <w:r w:rsidRPr="006F3072">
        <w:rPr>
          <w:b/>
          <w:bCs/>
        </w:rPr>
        <w:t>Répartition de l'impact du portefeuille par pression IPBES</w:t>
      </w:r>
      <w:r>
        <w:rPr>
          <w:b/>
          <w:bCs/>
        </w:rPr>
        <w:t xml:space="preserve"> (Lac1)</w:t>
      </w:r>
    </w:p>
    <w:p w14:paraId="2FF81AFA" w14:textId="77777777" w:rsidR="00602932" w:rsidRDefault="00602932" w:rsidP="009D2141">
      <w:pPr>
        <w:rPr>
          <w:b/>
          <w:bCs/>
        </w:rPr>
      </w:pPr>
    </w:p>
    <w:p w14:paraId="4D542B1B" w14:textId="77777777" w:rsidR="009D2141" w:rsidRDefault="009D2141" w:rsidP="009D2141">
      <w:pPr>
        <w:jc w:val="center"/>
        <w:rPr>
          <w:lang w:val="en-GB"/>
        </w:rPr>
      </w:pPr>
      <w:r>
        <w:rPr>
          <w:noProof/>
        </w:rPr>
        <w:drawing>
          <wp:inline distT="0" distB="0" distL="0" distR="0" wp14:anchorId="64CD86F0" wp14:editId="0E813989">
            <wp:extent cx="4680000" cy="30885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3088505"/>
                    </a:xfrm>
                    <a:prstGeom prst="rect">
                      <a:avLst/>
                    </a:prstGeom>
                  </pic:spPr>
                </pic:pic>
              </a:graphicData>
            </a:graphic>
          </wp:inline>
        </w:drawing>
      </w:r>
    </w:p>
    <w:p w14:paraId="30D3141F" w14:textId="2131C395" w:rsidR="006F3072" w:rsidRDefault="006F3072" w:rsidP="00602932">
      <w:pPr>
        <w:keepNext/>
        <w:rPr>
          <w:rStyle w:val="Rfrencelgre"/>
        </w:rPr>
      </w:pPr>
      <w:r w:rsidRPr="00937348">
        <w:rPr>
          <w:rStyle w:val="Rfrencelgre"/>
        </w:rPr>
        <w:t>Source : BIA-GBS™ database. GBS 1.1.0, Carbon4 Finance</w:t>
      </w:r>
    </w:p>
    <w:p w14:paraId="0D28EEF1" w14:textId="77777777" w:rsidR="00602932" w:rsidRPr="00937348" w:rsidRDefault="00602932" w:rsidP="006F3072">
      <w:pPr>
        <w:rPr>
          <w:rStyle w:val="Rfrencelgre"/>
        </w:rPr>
      </w:pPr>
    </w:p>
    <w:p w14:paraId="1E71EF6E" w14:textId="2C7E8D7E" w:rsidR="008A75CC" w:rsidRDefault="0077249E" w:rsidP="00EB524D">
      <w:r>
        <w:lastRenderedPageBreak/>
        <w:t>Les graphiques ci-dessus montrent la ventilation détaillée de l’impact sur la biodiversité par pression pour les catégories comptables statiques et dynamiques, ainsi que les domaines terrestre et aquatiques (eau douce uniquement).</w:t>
      </w:r>
    </w:p>
    <w:p w14:paraId="7A8E6D27" w14:textId="38B7B94D" w:rsidR="004F57D0" w:rsidRDefault="004F57D0" w:rsidP="00EB524D">
      <w:r>
        <w:t>La pression d’exploitation directe apparaît minoritaire dans les résultats. Cela est dû à un recoupement partiel entre les pressions d’occupation des sols et celles d’exploitation directe dans le GBS.</w:t>
      </w:r>
    </w:p>
    <w:p w14:paraId="66D60EAF" w14:textId="77777777" w:rsidR="00D26849" w:rsidRDefault="00D26849" w:rsidP="006D0895"/>
    <w:p w14:paraId="1F3A0F2A" w14:textId="0BEA8446" w:rsidR="008A75CC" w:rsidRDefault="008A75CC" w:rsidP="008A75CC">
      <w:pPr>
        <w:pStyle w:val="Titre4"/>
      </w:pPr>
      <w:r>
        <w:t>Résultats pour le reste du portefeuille coté de Bpifrance Investissement</w:t>
      </w:r>
    </w:p>
    <w:p w14:paraId="621FC64E" w14:textId="77777777" w:rsidR="00602932" w:rsidRPr="002C3EA7" w:rsidRDefault="00602932" w:rsidP="00602932"/>
    <w:p w14:paraId="78077C25" w14:textId="3C432A7B" w:rsidR="00602932" w:rsidRPr="00937348" w:rsidRDefault="00602932" w:rsidP="00602932">
      <w:pPr>
        <w:rPr>
          <w:b/>
          <w:bCs/>
        </w:rPr>
      </w:pPr>
      <w:r w:rsidRPr="00937348">
        <w:rPr>
          <w:b/>
          <w:bCs/>
        </w:rPr>
        <w:t xml:space="preserve">Impact biodiversité du </w:t>
      </w:r>
      <w:r>
        <w:rPr>
          <w:b/>
          <w:bCs/>
        </w:rPr>
        <w:t>portefeuille coté</w:t>
      </w:r>
      <w:r w:rsidR="007B0F3D">
        <w:rPr>
          <w:b/>
          <w:bCs/>
        </w:rPr>
        <w:t xml:space="preserve"> hors Lac1</w:t>
      </w:r>
      <w:r w:rsidRPr="00937348">
        <w:rPr>
          <w:b/>
          <w:bCs/>
        </w:rPr>
        <w:t xml:space="preserve"> (MSA.km²) </w:t>
      </w:r>
    </w:p>
    <w:tbl>
      <w:tblPr>
        <w:tblStyle w:val="Grilledutableau"/>
        <w:tblW w:w="0" w:type="auto"/>
        <w:tblBorders>
          <w:top w:val="none" w:sz="0" w:space="0" w:color="auto"/>
          <w:left w:val="none" w:sz="0" w:space="0" w:color="auto"/>
        </w:tblBorders>
        <w:tblLook w:val="04A0" w:firstRow="1" w:lastRow="0" w:firstColumn="1" w:lastColumn="0" w:noHBand="0" w:noVBand="1"/>
      </w:tblPr>
      <w:tblGrid>
        <w:gridCol w:w="3398"/>
        <w:gridCol w:w="3398"/>
        <w:gridCol w:w="3398"/>
      </w:tblGrid>
      <w:tr w:rsidR="00602932" w:rsidRPr="00937348" w14:paraId="417A8709" w14:textId="77777777" w:rsidTr="002E2D87">
        <w:tc>
          <w:tcPr>
            <w:tcW w:w="3398" w:type="dxa"/>
            <w:tcBorders>
              <w:bottom w:val="single" w:sz="4" w:space="0" w:color="auto"/>
            </w:tcBorders>
          </w:tcPr>
          <w:p w14:paraId="5232812A" w14:textId="77777777" w:rsidR="00602932" w:rsidRPr="00937348" w:rsidRDefault="00602932" w:rsidP="002E2D87"/>
        </w:tc>
        <w:tc>
          <w:tcPr>
            <w:tcW w:w="3398" w:type="dxa"/>
            <w:tcBorders>
              <w:top w:val="single" w:sz="4" w:space="0" w:color="auto"/>
            </w:tcBorders>
            <w:shd w:val="clear" w:color="auto" w:fill="786E64" w:themeFill="accent2"/>
          </w:tcPr>
          <w:p w14:paraId="76920D7C" w14:textId="77777777" w:rsidR="00602932" w:rsidRPr="00937348" w:rsidRDefault="00602932" w:rsidP="002E2D87">
            <w:pPr>
              <w:jc w:val="center"/>
              <w:rPr>
                <w:b/>
                <w:bCs/>
                <w:color w:val="FFFFFF" w:themeColor="background1"/>
              </w:rPr>
            </w:pPr>
            <w:r w:rsidRPr="00937348">
              <w:rPr>
                <w:b/>
                <w:bCs/>
                <w:color w:val="FFFFFF" w:themeColor="background1"/>
              </w:rPr>
              <w:t>Dynamique</w:t>
            </w:r>
          </w:p>
        </w:tc>
        <w:tc>
          <w:tcPr>
            <w:tcW w:w="3398" w:type="dxa"/>
            <w:tcBorders>
              <w:top w:val="single" w:sz="4" w:space="0" w:color="auto"/>
            </w:tcBorders>
            <w:shd w:val="clear" w:color="auto" w:fill="786E64" w:themeFill="accent2"/>
          </w:tcPr>
          <w:p w14:paraId="5C1C3718" w14:textId="77777777" w:rsidR="00602932" w:rsidRPr="00937348" w:rsidRDefault="00602932" w:rsidP="002E2D87">
            <w:pPr>
              <w:jc w:val="center"/>
              <w:rPr>
                <w:b/>
                <w:bCs/>
                <w:color w:val="FFFFFF" w:themeColor="background1"/>
              </w:rPr>
            </w:pPr>
            <w:r w:rsidRPr="00937348">
              <w:rPr>
                <w:b/>
                <w:bCs/>
                <w:color w:val="FFFFFF" w:themeColor="background1"/>
              </w:rPr>
              <w:t>Statique</w:t>
            </w:r>
          </w:p>
        </w:tc>
      </w:tr>
      <w:tr w:rsidR="00602932" w:rsidRPr="00937348" w14:paraId="065A52E8" w14:textId="77777777" w:rsidTr="002E2D87">
        <w:tc>
          <w:tcPr>
            <w:tcW w:w="3398" w:type="dxa"/>
            <w:tcBorders>
              <w:top w:val="single" w:sz="4" w:space="0" w:color="auto"/>
              <w:left w:val="single" w:sz="4" w:space="0" w:color="auto"/>
            </w:tcBorders>
          </w:tcPr>
          <w:p w14:paraId="149B2CA7" w14:textId="77777777" w:rsidR="00602932" w:rsidRPr="00937348" w:rsidRDefault="00602932" w:rsidP="002E2D87">
            <w:r w:rsidRPr="00937348">
              <w:t>Aquatique</w:t>
            </w:r>
          </w:p>
        </w:tc>
        <w:tc>
          <w:tcPr>
            <w:tcW w:w="3398" w:type="dxa"/>
          </w:tcPr>
          <w:p w14:paraId="200CC7FB" w14:textId="373CFEDE" w:rsidR="00602932" w:rsidRPr="00937348" w:rsidRDefault="00602932" w:rsidP="002E2D87">
            <w:pPr>
              <w:jc w:val="center"/>
            </w:pPr>
            <w:r w:rsidRPr="00937348">
              <w:t>0</w:t>
            </w:r>
            <w:r>
              <w:t>,5</w:t>
            </w:r>
          </w:p>
        </w:tc>
        <w:tc>
          <w:tcPr>
            <w:tcW w:w="3398" w:type="dxa"/>
          </w:tcPr>
          <w:p w14:paraId="25609C56" w14:textId="78EF57A8" w:rsidR="00602932" w:rsidRPr="00937348" w:rsidRDefault="00602932" w:rsidP="002E2D87">
            <w:pPr>
              <w:jc w:val="center"/>
            </w:pPr>
            <w:r>
              <w:t>59,0</w:t>
            </w:r>
          </w:p>
        </w:tc>
      </w:tr>
      <w:tr w:rsidR="00602932" w:rsidRPr="00937348" w14:paraId="2B92869F" w14:textId="77777777" w:rsidTr="002E2D87">
        <w:tc>
          <w:tcPr>
            <w:tcW w:w="3398" w:type="dxa"/>
            <w:tcBorders>
              <w:top w:val="single" w:sz="4" w:space="0" w:color="auto"/>
              <w:left w:val="single" w:sz="4" w:space="0" w:color="auto"/>
            </w:tcBorders>
          </w:tcPr>
          <w:p w14:paraId="522B4295" w14:textId="77777777" w:rsidR="00602932" w:rsidRPr="00937348" w:rsidRDefault="00602932" w:rsidP="002E2D87">
            <w:r w:rsidRPr="00937348">
              <w:t>Terrestre</w:t>
            </w:r>
          </w:p>
        </w:tc>
        <w:tc>
          <w:tcPr>
            <w:tcW w:w="3398" w:type="dxa"/>
          </w:tcPr>
          <w:p w14:paraId="60A61FB9" w14:textId="056DDD07" w:rsidR="00602932" w:rsidRPr="00937348" w:rsidRDefault="00602932" w:rsidP="002E2D87">
            <w:pPr>
              <w:jc w:val="center"/>
            </w:pPr>
            <w:r>
              <w:t>32,1</w:t>
            </w:r>
          </w:p>
        </w:tc>
        <w:tc>
          <w:tcPr>
            <w:tcW w:w="3398" w:type="dxa"/>
          </w:tcPr>
          <w:p w14:paraId="601BF4FD" w14:textId="1A9C4239" w:rsidR="00602932" w:rsidRPr="00937348" w:rsidRDefault="00602932" w:rsidP="002E2D87">
            <w:pPr>
              <w:jc w:val="center"/>
            </w:pPr>
            <w:r>
              <w:t>825,-</w:t>
            </w:r>
          </w:p>
        </w:tc>
      </w:tr>
    </w:tbl>
    <w:p w14:paraId="2F434D24" w14:textId="77777777" w:rsidR="00602932" w:rsidRPr="00937348" w:rsidRDefault="00602932" w:rsidP="00602932">
      <w:pPr>
        <w:rPr>
          <w:rStyle w:val="Rfrencelgre"/>
        </w:rPr>
      </w:pPr>
      <w:r w:rsidRPr="00937348">
        <w:rPr>
          <w:rStyle w:val="Rfrencelgre"/>
        </w:rPr>
        <w:t>Source : BIA-GBS™ database. GBS 1.1.0, Carbon4 Finance</w:t>
      </w:r>
    </w:p>
    <w:p w14:paraId="43F32D94" w14:textId="77777777" w:rsidR="00602932" w:rsidRPr="00937348" w:rsidRDefault="00602932" w:rsidP="00602932"/>
    <w:p w14:paraId="632855E3" w14:textId="39C54346" w:rsidR="00602932" w:rsidRPr="00937348" w:rsidRDefault="00602932" w:rsidP="00602932">
      <w:r w:rsidRPr="00937348">
        <w:t xml:space="preserve">L'impact statique terrestre équivaut à </w:t>
      </w:r>
      <w:r>
        <w:t>5 990</w:t>
      </w:r>
      <w:r w:rsidRPr="00937348">
        <w:t xml:space="preserve"> terrains de football, tandis que l'impact dynamique terrestre équivaut à </w:t>
      </w:r>
      <w:r>
        <w:t>7,9</w:t>
      </w:r>
      <w:r w:rsidRPr="00937348">
        <w:t xml:space="preserve"> fois la taille de Paris.</w:t>
      </w:r>
    </w:p>
    <w:p w14:paraId="67E59284" w14:textId="6D32B083" w:rsidR="007B0F3D" w:rsidRDefault="007B0F3D" w:rsidP="00602932"/>
    <w:p w14:paraId="4CAA7445" w14:textId="77777777" w:rsidR="007B0F3D" w:rsidRPr="00937348" w:rsidRDefault="007B0F3D" w:rsidP="00602932"/>
    <w:p w14:paraId="08313C7B" w14:textId="0C72F14B" w:rsidR="00602932" w:rsidRDefault="00602932" w:rsidP="00602932">
      <w:pPr>
        <w:rPr>
          <w:b/>
          <w:bCs/>
        </w:rPr>
      </w:pPr>
      <w:r w:rsidRPr="00937348">
        <w:rPr>
          <w:b/>
          <w:bCs/>
        </w:rPr>
        <w:t xml:space="preserve">Intensité biodiversité du </w:t>
      </w:r>
      <w:r>
        <w:rPr>
          <w:b/>
          <w:bCs/>
        </w:rPr>
        <w:t>portefeuille coté</w:t>
      </w:r>
      <w:r w:rsidRPr="00937348">
        <w:rPr>
          <w:b/>
          <w:bCs/>
        </w:rPr>
        <w:t xml:space="preserve"> </w:t>
      </w:r>
      <w:r w:rsidR="007B0F3D">
        <w:rPr>
          <w:b/>
          <w:bCs/>
        </w:rPr>
        <w:t xml:space="preserve">hors Lac1 </w:t>
      </w:r>
      <w:r w:rsidRPr="00937348">
        <w:rPr>
          <w:b/>
          <w:bCs/>
        </w:rPr>
        <w:t>(MSA.m²/k€ investis)</w:t>
      </w:r>
    </w:p>
    <w:p w14:paraId="7A7CCB35" w14:textId="77777777" w:rsidR="007B0F3D" w:rsidRPr="007B0F3D" w:rsidRDefault="007B0F3D" w:rsidP="00602932">
      <w:pPr>
        <w:rPr>
          <w:b/>
          <w:bCs/>
        </w:rPr>
      </w:pPr>
    </w:p>
    <w:tbl>
      <w:tblPr>
        <w:tblStyle w:val="Grilledutableau"/>
        <w:tblW w:w="0" w:type="auto"/>
        <w:tblBorders>
          <w:top w:val="none" w:sz="0" w:space="0" w:color="auto"/>
          <w:left w:val="none" w:sz="0" w:space="0" w:color="auto"/>
        </w:tblBorders>
        <w:tblLook w:val="04A0" w:firstRow="1" w:lastRow="0" w:firstColumn="1" w:lastColumn="0" w:noHBand="0" w:noVBand="1"/>
      </w:tblPr>
      <w:tblGrid>
        <w:gridCol w:w="3398"/>
        <w:gridCol w:w="3398"/>
        <w:gridCol w:w="3398"/>
      </w:tblGrid>
      <w:tr w:rsidR="00602932" w:rsidRPr="00937348" w14:paraId="138CDFD7" w14:textId="77777777" w:rsidTr="002E2D87">
        <w:tc>
          <w:tcPr>
            <w:tcW w:w="3398" w:type="dxa"/>
            <w:tcBorders>
              <w:bottom w:val="single" w:sz="4" w:space="0" w:color="auto"/>
            </w:tcBorders>
          </w:tcPr>
          <w:p w14:paraId="63E9E458" w14:textId="77777777" w:rsidR="00602932" w:rsidRPr="00937348" w:rsidRDefault="00602932" w:rsidP="002E2D87"/>
        </w:tc>
        <w:tc>
          <w:tcPr>
            <w:tcW w:w="3398" w:type="dxa"/>
            <w:tcBorders>
              <w:top w:val="single" w:sz="4" w:space="0" w:color="auto"/>
            </w:tcBorders>
            <w:shd w:val="clear" w:color="auto" w:fill="786E64" w:themeFill="accent2"/>
          </w:tcPr>
          <w:p w14:paraId="1EE9DD83" w14:textId="77777777" w:rsidR="00602932" w:rsidRPr="00937348" w:rsidRDefault="00602932" w:rsidP="002E2D87">
            <w:pPr>
              <w:jc w:val="center"/>
              <w:rPr>
                <w:b/>
                <w:bCs/>
                <w:color w:val="FFFFFF" w:themeColor="background1"/>
              </w:rPr>
            </w:pPr>
            <w:r w:rsidRPr="00937348">
              <w:rPr>
                <w:b/>
                <w:bCs/>
                <w:color w:val="FFFFFF" w:themeColor="background1"/>
              </w:rPr>
              <w:t>Dynamique</w:t>
            </w:r>
          </w:p>
        </w:tc>
        <w:tc>
          <w:tcPr>
            <w:tcW w:w="3398" w:type="dxa"/>
            <w:tcBorders>
              <w:top w:val="single" w:sz="4" w:space="0" w:color="auto"/>
            </w:tcBorders>
            <w:shd w:val="clear" w:color="auto" w:fill="786E64" w:themeFill="accent2"/>
          </w:tcPr>
          <w:p w14:paraId="0CE3A064" w14:textId="77777777" w:rsidR="00602932" w:rsidRPr="00937348" w:rsidRDefault="00602932" w:rsidP="002E2D87">
            <w:pPr>
              <w:jc w:val="center"/>
              <w:rPr>
                <w:b/>
                <w:bCs/>
                <w:color w:val="FFFFFF" w:themeColor="background1"/>
              </w:rPr>
            </w:pPr>
            <w:r w:rsidRPr="00937348">
              <w:rPr>
                <w:b/>
                <w:bCs/>
                <w:color w:val="FFFFFF" w:themeColor="background1"/>
              </w:rPr>
              <w:t>Statique</w:t>
            </w:r>
          </w:p>
        </w:tc>
      </w:tr>
      <w:tr w:rsidR="00602932" w:rsidRPr="00937348" w14:paraId="7919E0D7" w14:textId="77777777" w:rsidTr="002E2D87">
        <w:tc>
          <w:tcPr>
            <w:tcW w:w="3398" w:type="dxa"/>
            <w:tcBorders>
              <w:top w:val="single" w:sz="4" w:space="0" w:color="auto"/>
              <w:left w:val="single" w:sz="4" w:space="0" w:color="auto"/>
            </w:tcBorders>
          </w:tcPr>
          <w:p w14:paraId="1E7407D6" w14:textId="77777777" w:rsidR="00602932" w:rsidRPr="00937348" w:rsidRDefault="00602932" w:rsidP="002E2D87">
            <w:r w:rsidRPr="00937348">
              <w:t>Aquatique</w:t>
            </w:r>
          </w:p>
        </w:tc>
        <w:tc>
          <w:tcPr>
            <w:tcW w:w="3398" w:type="dxa"/>
          </w:tcPr>
          <w:p w14:paraId="645D5037" w14:textId="5FB2B875" w:rsidR="00602932" w:rsidRPr="00937348" w:rsidRDefault="00602932" w:rsidP="002E2D87">
            <w:pPr>
              <w:jc w:val="center"/>
            </w:pPr>
            <w:r w:rsidRPr="00937348">
              <w:t>0</w:t>
            </w:r>
            <w:r>
              <w:t>,</w:t>
            </w:r>
            <w:r w:rsidRPr="00937348">
              <w:t>0</w:t>
            </w:r>
          </w:p>
        </w:tc>
        <w:tc>
          <w:tcPr>
            <w:tcW w:w="3398" w:type="dxa"/>
          </w:tcPr>
          <w:p w14:paraId="6ADB4603" w14:textId="55D671A0" w:rsidR="00602932" w:rsidRPr="00937348" w:rsidRDefault="00602932" w:rsidP="002E2D87">
            <w:pPr>
              <w:jc w:val="center"/>
            </w:pPr>
            <w:r>
              <w:t>5,5</w:t>
            </w:r>
          </w:p>
        </w:tc>
      </w:tr>
      <w:tr w:rsidR="00602932" w:rsidRPr="00937348" w14:paraId="08CAF7C2" w14:textId="77777777" w:rsidTr="002E2D87">
        <w:tc>
          <w:tcPr>
            <w:tcW w:w="3398" w:type="dxa"/>
            <w:tcBorders>
              <w:top w:val="single" w:sz="4" w:space="0" w:color="auto"/>
              <w:left w:val="single" w:sz="4" w:space="0" w:color="auto"/>
            </w:tcBorders>
          </w:tcPr>
          <w:p w14:paraId="70D38CC4" w14:textId="77777777" w:rsidR="00602932" w:rsidRPr="00937348" w:rsidRDefault="00602932" w:rsidP="002E2D87">
            <w:r w:rsidRPr="00937348">
              <w:t>Terrestre</w:t>
            </w:r>
          </w:p>
        </w:tc>
        <w:tc>
          <w:tcPr>
            <w:tcW w:w="3398" w:type="dxa"/>
          </w:tcPr>
          <w:p w14:paraId="7ECC345C" w14:textId="57AB932E" w:rsidR="00602932" w:rsidRPr="00937348" w:rsidRDefault="00602932" w:rsidP="002E2D87">
            <w:pPr>
              <w:jc w:val="center"/>
            </w:pPr>
            <w:r w:rsidRPr="00937348">
              <w:t>3</w:t>
            </w:r>
            <w:r>
              <w:t>,0</w:t>
            </w:r>
          </w:p>
        </w:tc>
        <w:tc>
          <w:tcPr>
            <w:tcW w:w="3398" w:type="dxa"/>
          </w:tcPr>
          <w:p w14:paraId="7B01A2AE" w14:textId="7130872B" w:rsidR="00602932" w:rsidRPr="00937348" w:rsidRDefault="00602932" w:rsidP="002E2D87">
            <w:pPr>
              <w:jc w:val="center"/>
            </w:pPr>
            <w:r>
              <w:t>77,6</w:t>
            </w:r>
          </w:p>
        </w:tc>
      </w:tr>
    </w:tbl>
    <w:p w14:paraId="6D8F7B68" w14:textId="77777777" w:rsidR="00602932" w:rsidRPr="00937348" w:rsidRDefault="00602932" w:rsidP="00602932">
      <w:pPr>
        <w:rPr>
          <w:rStyle w:val="Rfrencelgre"/>
        </w:rPr>
      </w:pPr>
      <w:r w:rsidRPr="00937348">
        <w:rPr>
          <w:rStyle w:val="Rfrencelgre"/>
        </w:rPr>
        <w:t>Source : BIA-GBS™ database. GBS 1.1.0, Carbon4 Finance</w:t>
      </w:r>
    </w:p>
    <w:p w14:paraId="347E2BE2" w14:textId="77777777" w:rsidR="00602932" w:rsidRPr="00937348" w:rsidRDefault="00602932" w:rsidP="00602932"/>
    <w:p w14:paraId="5BC6315C" w14:textId="0067A70E" w:rsidR="00602932" w:rsidRDefault="00602932" w:rsidP="00602932">
      <w:r>
        <w:t>L’intensité d’impact du reste du portefeuille coté est relativement similaire à celui du fonds Lac1.</w:t>
      </w:r>
    </w:p>
    <w:p w14:paraId="790DF09E" w14:textId="77777777" w:rsidR="00DC59F6" w:rsidRDefault="00DC59F6" w:rsidP="00EB524D"/>
    <w:p w14:paraId="4D736196" w14:textId="53EF5ADA" w:rsidR="007B0F3D" w:rsidRDefault="007B0F3D" w:rsidP="007B0F3D">
      <w:pPr>
        <w:rPr>
          <w:b/>
          <w:bCs/>
        </w:rPr>
      </w:pPr>
      <w:r w:rsidRPr="006F3072">
        <w:rPr>
          <w:b/>
          <w:bCs/>
        </w:rPr>
        <w:t>Répartition de l'impact du portefeuille par pression IPBES</w:t>
      </w:r>
      <w:r>
        <w:rPr>
          <w:b/>
          <w:bCs/>
        </w:rPr>
        <w:t xml:space="preserve"> (portefeuille coté hors Lac1)</w:t>
      </w:r>
    </w:p>
    <w:p w14:paraId="5E738963" w14:textId="77777777" w:rsidR="007B0F3D" w:rsidRDefault="007B0F3D" w:rsidP="007B0F3D">
      <w:pPr>
        <w:rPr>
          <w:b/>
          <w:bCs/>
        </w:rPr>
      </w:pPr>
    </w:p>
    <w:p w14:paraId="1400D16C" w14:textId="7E6EC870" w:rsidR="007B0F3D" w:rsidRDefault="007B0F3D" w:rsidP="007B0F3D">
      <w:pPr>
        <w:jc w:val="center"/>
      </w:pPr>
      <w:r>
        <w:rPr>
          <w:noProof/>
        </w:rPr>
        <w:drawing>
          <wp:inline distT="0" distB="0" distL="0" distR="0" wp14:anchorId="3D3B18DD" wp14:editId="03332A6B">
            <wp:extent cx="4680000" cy="3218300"/>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3218300"/>
                    </a:xfrm>
                    <a:prstGeom prst="rect">
                      <a:avLst/>
                    </a:prstGeom>
                  </pic:spPr>
                </pic:pic>
              </a:graphicData>
            </a:graphic>
          </wp:inline>
        </w:drawing>
      </w:r>
    </w:p>
    <w:p w14:paraId="513F67A3" w14:textId="77777777" w:rsidR="00DD2611" w:rsidRPr="00937348" w:rsidRDefault="00DD2611" w:rsidP="00DD2611">
      <w:pPr>
        <w:rPr>
          <w:rStyle w:val="Rfrencelgre"/>
        </w:rPr>
      </w:pPr>
      <w:r w:rsidRPr="00937348">
        <w:rPr>
          <w:rStyle w:val="Rfrencelgre"/>
        </w:rPr>
        <w:t>Source : BIA-GBS™ database. GBS 1.1.0, Carbon4 Finance</w:t>
      </w:r>
    </w:p>
    <w:p w14:paraId="34D33F61" w14:textId="05EEB55D" w:rsidR="00EB524D" w:rsidRDefault="00EB524D" w:rsidP="00BF7654">
      <w:pPr>
        <w:pStyle w:val="Titre3"/>
      </w:pPr>
      <w:bookmarkStart w:id="70" w:name="_Toc139042752"/>
      <w:r>
        <w:t>Activité Capital Investissement :</w:t>
      </w:r>
      <w:bookmarkEnd w:id="70"/>
    </w:p>
    <w:p w14:paraId="27334F12" w14:textId="715EA362" w:rsidR="00EB524D" w:rsidRDefault="00EB524D" w:rsidP="00EB524D">
      <w:r>
        <w:t xml:space="preserve">Des travaux sont également engagés, dans le cadre d’un groupe de travail dédié au sein de la Commission Sustainability de France Invest avec CDC Biodiversité, sur la définition d’une méthodologie d’évaluation de </w:t>
      </w:r>
      <w:r>
        <w:lastRenderedPageBreak/>
        <w:t>l’empreinte biodiversité de</w:t>
      </w:r>
      <w:r w:rsidR="00C034AF">
        <w:t>s</w:t>
      </w:r>
      <w:r>
        <w:t xml:space="preserve"> portefeuille</w:t>
      </w:r>
      <w:r w:rsidR="00C034AF">
        <w:t>s</w:t>
      </w:r>
      <w:r>
        <w:t xml:space="preserve"> majoritairement constitué</w:t>
      </w:r>
      <w:r w:rsidR="00C034AF">
        <w:t>s</w:t>
      </w:r>
      <w:r>
        <w:t xml:space="preserve"> de PME, pour lesquelles aucune donnée n’est disponible.</w:t>
      </w:r>
    </w:p>
    <w:p w14:paraId="766D2F6A" w14:textId="5B3EEE8A" w:rsidR="00EB524D" w:rsidRDefault="00EB524D" w:rsidP="00EB524D">
      <w:r>
        <w:t>Les réponses des entreprises à la campagne d’enquête ESG annuelle menée en 202</w:t>
      </w:r>
      <w:r w:rsidR="00643238">
        <w:t>3</w:t>
      </w:r>
      <w:r>
        <w:t xml:space="preserve"> sur l’année 202</w:t>
      </w:r>
      <w:r w:rsidR="00643238">
        <w:t>2</w:t>
      </w:r>
      <w:r>
        <w:t xml:space="preserve"> dénotent </w:t>
      </w:r>
      <w:r w:rsidRPr="00E87B5D">
        <w:t>un faible niveau</w:t>
      </w:r>
      <w:r>
        <w:t xml:space="preserve"> de prise en compte des enjeux, et la nécessité d’une sensibilisation et d’un accompagnement pour leur prise en compte :</w:t>
      </w:r>
      <w:bookmarkStart w:id="71" w:name="_Toc489241709"/>
      <w:bookmarkStart w:id="72" w:name="_Hlk132902995"/>
    </w:p>
    <w:p w14:paraId="45D87317" w14:textId="77777777" w:rsidR="00E87C63" w:rsidRPr="00D564E0" w:rsidRDefault="00E87C63" w:rsidP="00EB524D"/>
    <w:tbl>
      <w:tblPr>
        <w:tblStyle w:val="TableauGrille5Fonc-Accentuation1"/>
        <w:tblW w:w="10343" w:type="dxa"/>
        <w:tblLayout w:type="fixed"/>
        <w:tblLook w:val="0620" w:firstRow="1" w:lastRow="0" w:firstColumn="0" w:lastColumn="0" w:noHBand="1" w:noVBand="1"/>
      </w:tblPr>
      <w:tblGrid>
        <w:gridCol w:w="7366"/>
        <w:gridCol w:w="1488"/>
        <w:gridCol w:w="1489"/>
      </w:tblGrid>
      <w:tr w:rsidR="00E87C63" w:rsidRPr="00893444" w14:paraId="4FDEDC2C" w14:textId="77777777" w:rsidTr="004C0D47">
        <w:trPr>
          <w:cnfStyle w:val="100000000000" w:firstRow="1" w:lastRow="0" w:firstColumn="0" w:lastColumn="0" w:oddVBand="0" w:evenVBand="0" w:oddHBand="0" w:evenHBand="0" w:firstRowFirstColumn="0" w:firstRowLastColumn="0" w:lastRowFirstColumn="0" w:lastRowLastColumn="0"/>
          <w:trHeight w:val="378"/>
        </w:trPr>
        <w:tc>
          <w:tcPr>
            <w:tcW w:w="7366" w:type="dxa"/>
            <w:noWrap/>
            <w:hideMark/>
          </w:tcPr>
          <w:p w14:paraId="7ADE60B7" w14:textId="21072BEF" w:rsidR="00E87C63" w:rsidRPr="00893444" w:rsidRDefault="00E87C63" w:rsidP="000D71BB">
            <w:pPr>
              <w:spacing w:line="240" w:lineRule="auto"/>
              <w:jc w:val="left"/>
              <w:rPr>
                <w:rFonts w:eastAsia="Times New Roman" w:cs="Arial"/>
                <w:color w:val="786E64" w:themeColor="accent2"/>
                <w:sz w:val="22"/>
                <w:szCs w:val="22"/>
                <w:lang w:eastAsia="fr-FR"/>
              </w:rPr>
            </w:pPr>
            <w:r w:rsidRPr="00893444">
              <w:rPr>
                <w:rFonts w:eastAsia="Times New Roman" w:cs="Arial"/>
                <w:color w:val="786E64" w:themeColor="accent2"/>
                <w:sz w:val="22"/>
                <w:szCs w:val="22"/>
                <w:lang w:eastAsia="fr-FR"/>
              </w:rPr>
              <w:t xml:space="preserve">Indicateurs </w:t>
            </w:r>
            <w:r>
              <w:rPr>
                <w:rFonts w:eastAsia="Times New Roman" w:cs="Arial"/>
                <w:color w:val="786E64" w:themeColor="accent2"/>
                <w:sz w:val="22"/>
                <w:szCs w:val="22"/>
                <w:lang w:eastAsia="fr-FR"/>
              </w:rPr>
              <w:t>biodiversité</w:t>
            </w:r>
            <w:r w:rsidRPr="00893444">
              <w:rPr>
                <w:rFonts w:eastAsia="Times New Roman" w:cs="Arial"/>
                <w:color w:val="786E64" w:themeColor="accent2"/>
                <w:sz w:val="22"/>
                <w:szCs w:val="22"/>
                <w:lang w:eastAsia="fr-FR"/>
              </w:rPr>
              <w:t xml:space="preserve"> </w:t>
            </w:r>
          </w:p>
        </w:tc>
        <w:tc>
          <w:tcPr>
            <w:tcW w:w="1488" w:type="dxa"/>
            <w:noWrap/>
            <w:hideMark/>
          </w:tcPr>
          <w:p w14:paraId="40313FA5" w14:textId="77777777" w:rsidR="00E87C63" w:rsidRPr="00893444" w:rsidRDefault="00E87C63" w:rsidP="000D71BB">
            <w:pPr>
              <w:spacing w:line="240" w:lineRule="auto"/>
              <w:jc w:val="center"/>
              <w:rPr>
                <w:rFonts w:eastAsia="Times New Roman" w:cs="Arial"/>
                <w:color w:val="786E64" w:themeColor="accent2"/>
                <w:sz w:val="22"/>
                <w:szCs w:val="22"/>
                <w:lang w:eastAsia="fr-FR"/>
              </w:rPr>
            </w:pPr>
            <w:r w:rsidRPr="00893444">
              <w:rPr>
                <w:rFonts w:eastAsia="Times New Roman" w:cs="Arial"/>
                <w:color w:val="786E64" w:themeColor="accent2"/>
                <w:sz w:val="22"/>
                <w:szCs w:val="22"/>
                <w:lang w:eastAsia="fr-FR"/>
              </w:rPr>
              <w:t>2021</w:t>
            </w:r>
          </w:p>
        </w:tc>
        <w:tc>
          <w:tcPr>
            <w:tcW w:w="1489" w:type="dxa"/>
            <w:noWrap/>
            <w:hideMark/>
          </w:tcPr>
          <w:p w14:paraId="3C637DD3" w14:textId="77777777" w:rsidR="00E87C63" w:rsidRPr="00893444" w:rsidRDefault="00E87C63" w:rsidP="000D71BB">
            <w:pPr>
              <w:spacing w:line="240" w:lineRule="auto"/>
              <w:jc w:val="center"/>
              <w:rPr>
                <w:rFonts w:eastAsia="Times New Roman" w:cs="Arial"/>
                <w:color w:val="786E64" w:themeColor="accent2"/>
                <w:sz w:val="22"/>
                <w:szCs w:val="22"/>
                <w:lang w:eastAsia="fr-FR"/>
              </w:rPr>
            </w:pPr>
            <w:r w:rsidRPr="00893444">
              <w:rPr>
                <w:rFonts w:eastAsia="Times New Roman" w:cs="Arial"/>
                <w:color w:val="786E64" w:themeColor="accent2"/>
                <w:sz w:val="22"/>
                <w:szCs w:val="22"/>
                <w:lang w:eastAsia="fr-FR"/>
              </w:rPr>
              <w:t>2022</w:t>
            </w:r>
          </w:p>
        </w:tc>
      </w:tr>
      <w:tr w:rsidR="004C0D47" w:rsidRPr="00893444" w14:paraId="6A285D5D" w14:textId="77777777" w:rsidTr="004C0D47">
        <w:trPr>
          <w:trHeight w:val="310"/>
        </w:trPr>
        <w:tc>
          <w:tcPr>
            <w:tcW w:w="7366" w:type="dxa"/>
            <w:vAlign w:val="center"/>
          </w:tcPr>
          <w:p w14:paraId="33B159A1" w14:textId="5FD040D2" w:rsidR="00E87B5D" w:rsidRPr="00893444" w:rsidRDefault="00E87B5D" w:rsidP="00E87B5D">
            <w:pPr>
              <w:spacing w:line="240" w:lineRule="auto"/>
              <w:jc w:val="left"/>
              <w:rPr>
                <w:rFonts w:eastAsia="Times New Roman" w:cs="Arial"/>
                <w:i/>
                <w:iCs/>
                <w:color w:val="786E64" w:themeColor="accent2"/>
                <w:lang w:eastAsia="fr-FR"/>
              </w:rPr>
            </w:pPr>
            <w:r w:rsidRPr="00E87B5D">
              <w:rPr>
                <w:rFonts w:cs="Arial"/>
                <w:color w:val="786E64" w:themeColor="accent2"/>
              </w:rPr>
              <w:t>Part des entreprises répondantes ayant formalisé une politique en matière de préservation de la biodiversité (engagements et objectifs)</w:t>
            </w:r>
          </w:p>
        </w:tc>
        <w:tc>
          <w:tcPr>
            <w:tcW w:w="1488" w:type="dxa"/>
            <w:noWrap/>
            <w:vAlign w:val="center"/>
          </w:tcPr>
          <w:p w14:paraId="35C84091" w14:textId="640DA776" w:rsidR="00E87B5D" w:rsidRPr="00893444" w:rsidRDefault="00E87B5D" w:rsidP="00E87B5D">
            <w:pPr>
              <w:spacing w:line="240" w:lineRule="auto"/>
              <w:jc w:val="center"/>
              <w:rPr>
                <w:rFonts w:eastAsia="Times New Roman" w:cs="Arial"/>
                <w:i/>
                <w:iCs/>
                <w:color w:val="786E64" w:themeColor="accent2"/>
                <w:lang w:eastAsia="fr-FR"/>
              </w:rPr>
            </w:pPr>
            <w:r w:rsidRPr="00E87B5D">
              <w:rPr>
                <w:rFonts w:cs="Arial"/>
                <w:color w:val="786E64" w:themeColor="accent2"/>
              </w:rPr>
              <w:t>30/190 répondantes</w:t>
            </w:r>
          </w:p>
        </w:tc>
        <w:tc>
          <w:tcPr>
            <w:tcW w:w="1489" w:type="dxa"/>
            <w:noWrap/>
            <w:vAlign w:val="center"/>
          </w:tcPr>
          <w:p w14:paraId="5E61D4AA" w14:textId="7ADE489C" w:rsidR="00E87B5D" w:rsidRPr="00893444" w:rsidRDefault="00E87B5D" w:rsidP="00E87B5D">
            <w:pPr>
              <w:spacing w:line="240" w:lineRule="auto"/>
              <w:jc w:val="center"/>
              <w:rPr>
                <w:rFonts w:eastAsia="Times New Roman" w:cs="Arial"/>
                <w:i/>
                <w:iCs/>
                <w:color w:val="786E64" w:themeColor="accent2"/>
                <w:lang w:eastAsia="fr-FR"/>
              </w:rPr>
            </w:pPr>
            <w:r w:rsidRPr="00E87B5D">
              <w:rPr>
                <w:rFonts w:cs="Arial"/>
                <w:color w:val="786E64" w:themeColor="accent2"/>
              </w:rPr>
              <w:t>24/284 répondantes</w:t>
            </w:r>
          </w:p>
        </w:tc>
      </w:tr>
      <w:tr w:rsidR="004C0D47" w:rsidRPr="00893444" w14:paraId="1C832919" w14:textId="77777777" w:rsidTr="004C0D47">
        <w:trPr>
          <w:trHeight w:val="310"/>
        </w:trPr>
        <w:tc>
          <w:tcPr>
            <w:tcW w:w="7366" w:type="dxa"/>
            <w:vAlign w:val="center"/>
          </w:tcPr>
          <w:p w14:paraId="2992B04C" w14:textId="5353A802" w:rsidR="00E87B5D" w:rsidRPr="00893444" w:rsidRDefault="00E87B5D" w:rsidP="00E87B5D">
            <w:pPr>
              <w:spacing w:line="240" w:lineRule="auto"/>
              <w:jc w:val="left"/>
              <w:rPr>
                <w:rFonts w:eastAsia="Times New Roman" w:cs="Arial"/>
                <w:color w:val="786E64" w:themeColor="accent2"/>
                <w:lang w:eastAsia="fr-FR"/>
              </w:rPr>
            </w:pPr>
            <w:r w:rsidRPr="00E87B5D">
              <w:rPr>
                <w:rFonts w:cs="Arial"/>
                <w:color w:val="786E64" w:themeColor="accent2"/>
              </w:rPr>
              <w:t>Part des entreprises répondantes ayant réalisé une évaluation de son impact en termes de "biodiversité"</w:t>
            </w:r>
          </w:p>
        </w:tc>
        <w:tc>
          <w:tcPr>
            <w:tcW w:w="1488" w:type="dxa"/>
            <w:noWrap/>
            <w:vAlign w:val="center"/>
          </w:tcPr>
          <w:p w14:paraId="7B822295" w14:textId="3C947458" w:rsidR="00E87B5D" w:rsidRPr="00893444" w:rsidRDefault="00E87B5D" w:rsidP="00E87B5D">
            <w:pPr>
              <w:spacing w:line="240" w:lineRule="auto"/>
              <w:jc w:val="center"/>
              <w:rPr>
                <w:rFonts w:eastAsia="Times New Roman" w:cs="Arial"/>
                <w:color w:val="786E64" w:themeColor="accent2"/>
                <w:lang w:eastAsia="fr-FR"/>
              </w:rPr>
            </w:pPr>
            <w:r w:rsidRPr="00E87B5D">
              <w:rPr>
                <w:rFonts w:cs="Arial"/>
                <w:color w:val="786E64" w:themeColor="accent2"/>
              </w:rPr>
              <w:t>2%</w:t>
            </w:r>
          </w:p>
        </w:tc>
        <w:tc>
          <w:tcPr>
            <w:tcW w:w="1489" w:type="dxa"/>
            <w:noWrap/>
            <w:vAlign w:val="center"/>
          </w:tcPr>
          <w:p w14:paraId="4A759933" w14:textId="26402E8F" w:rsidR="00E87B5D" w:rsidRPr="00893444" w:rsidRDefault="00E87B5D" w:rsidP="00E87B5D">
            <w:pPr>
              <w:spacing w:line="240" w:lineRule="auto"/>
              <w:jc w:val="center"/>
              <w:rPr>
                <w:rFonts w:eastAsia="Times New Roman" w:cs="Arial"/>
                <w:color w:val="786E64" w:themeColor="accent2"/>
                <w:lang w:eastAsia="fr-FR"/>
              </w:rPr>
            </w:pPr>
            <w:r w:rsidRPr="00E87B5D">
              <w:rPr>
                <w:rFonts w:cs="Arial"/>
                <w:color w:val="786E64" w:themeColor="accent2"/>
              </w:rPr>
              <w:t>8%</w:t>
            </w:r>
          </w:p>
        </w:tc>
      </w:tr>
    </w:tbl>
    <w:p w14:paraId="294B6739" w14:textId="77777777" w:rsidR="009A45D2" w:rsidRDefault="009A45D2" w:rsidP="00C60ECA">
      <w:pPr>
        <w:spacing w:after="200" w:line="276" w:lineRule="auto"/>
        <w:jc w:val="left"/>
      </w:pPr>
    </w:p>
    <w:p w14:paraId="0E7F853A" w14:textId="77777777" w:rsidR="009A45D2" w:rsidRDefault="009A45D2" w:rsidP="00C60ECA">
      <w:pPr>
        <w:spacing w:after="200" w:line="276" w:lineRule="auto"/>
        <w:jc w:val="left"/>
      </w:pPr>
    </w:p>
    <w:p w14:paraId="6CEDF7D8" w14:textId="77777777" w:rsidR="00A4407E" w:rsidRPr="00A4407E" w:rsidRDefault="00A4407E" w:rsidP="00B06481">
      <w:pPr>
        <w:pStyle w:val="Titre3"/>
      </w:pPr>
      <w:bookmarkStart w:id="73" w:name="_Toc139042753"/>
      <w:r w:rsidRPr="00A4407E">
        <w:t>Activité Fonds de fonds :</w:t>
      </w:r>
      <w:bookmarkEnd w:id="73"/>
    </w:p>
    <w:p w14:paraId="2101D37F" w14:textId="43C1484D" w:rsidR="007959DF" w:rsidRPr="00A4407E" w:rsidRDefault="007959DF" w:rsidP="00A4407E">
      <w:pPr>
        <w:spacing w:after="200" w:line="276" w:lineRule="auto"/>
        <w:jc w:val="left"/>
      </w:pPr>
      <w:r>
        <w:rPr>
          <w:rFonts w:eastAsia="Times New Roman"/>
        </w:rPr>
        <w:t>Une réflexion est en cours pour encourager l’amorçage de la prise en compte des enjeux de biodiversité par les Fonds Partenaires de Bpifrance.</w:t>
      </w:r>
    </w:p>
    <w:p w14:paraId="33E2DEAE" w14:textId="7E2981AE" w:rsidR="00A4407E" w:rsidRDefault="00A4407E" w:rsidP="00C60ECA">
      <w:pPr>
        <w:spacing w:after="200" w:line="276" w:lineRule="auto"/>
        <w:jc w:val="left"/>
      </w:pPr>
      <w:r w:rsidRPr="00A4407E">
        <w:t>Bpifrance Investissement n’a donc pas déterminé d’objectifs chiffrés d’alignement sur les objectifs internationaux de préservation de la biodiversité.</w:t>
      </w:r>
    </w:p>
    <w:p w14:paraId="36A51F2F" w14:textId="680575EA" w:rsidR="00C60ECA" w:rsidRDefault="00083A0D" w:rsidP="00306121">
      <w:pPr>
        <w:pStyle w:val="Titre1"/>
      </w:pPr>
      <w:bookmarkStart w:id="74" w:name="_Toc139042754"/>
      <w:r>
        <w:lastRenderedPageBreak/>
        <w:t>P</w:t>
      </w:r>
      <w:r w:rsidR="00043EBC" w:rsidRPr="00043EBC">
        <w:t xml:space="preserve">rise en compte des </w:t>
      </w:r>
      <w:r w:rsidR="00324F42">
        <w:t>enj</w:t>
      </w:r>
      <w:r>
        <w:t>e</w:t>
      </w:r>
      <w:r w:rsidR="00324F42">
        <w:t xml:space="preserve">ux </w:t>
      </w:r>
      <w:r w:rsidR="00C56E31">
        <w:t>ESG</w:t>
      </w:r>
      <w:r w:rsidR="00043EBC" w:rsidRPr="00043EBC">
        <w:t xml:space="preserve"> dans la gestion des risques</w:t>
      </w:r>
      <w:bookmarkEnd w:id="74"/>
    </w:p>
    <w:p w14:paraId="77AA1FE5" w14:textId="77777777" w:rsidR="00C60ECA" w:rsidRDefault="00C60ECA" w:rsidP="00C60ECA"/>
    <w:p w14:paraId="2C0D6360" w14:textId="44A3814C" w:rsidR="00C60ECA" w:rsidRDefault="000E659B" w:rsidP="00306121">
      <w:pPr>
        <w:pStyle w:val="Titre2"/>
      </w:pPr>
      <w:bookmarkStart w:id="75" w:name="_Toc139042755"/>
      <w:r>
        <w:t>P</w:t>
      </w:r>
      <w:r w:rsidR="00C60ECA" w:rsidRPr="007E483F">
        <w:t xml:space="preserve">rocessus d'identification, d'évaluation, de priorisation et de gestion des risques </w:t>
      </w:r>
      <w:r w:rsidR="007303A6">
        <w:t>ESG</w:t>
      </w:r>
      <w:bookmarkEnd w:id="75"/>
      <w:r w:rsidR="00C60ECA" w:rsidRPr="007E483F">
        <w:t xml:space="preserve"> </w:t>
      </w:r>
    </w:p>
    <w:p w14:paraId="51CDBA3A" w14:textId="0DD6D9FE" w:rsidR="00183975" w:rsidRDefault="00183975" w:rsidP="00183975">
      <w:r>
        <w:t xml:space="preserve">Bpifrance Investissement applique des critères relatifs à des politiques d’exclusion et des lignes sectorielles </w:t>
      </w:r>
      <w:r w:rsidR="00F537B5">
        <w:t>(voir</w:t>
      </w:r>
      <w:r w:rsidR="008D435A">
        <w:t xml:space="preserve"> la section</w:t>
      </w:r>
      <w:r w:rsidR="00F537B5">
        <w:t xml:space="preserve"> </w:t>
      </w:r>
      <w:r w:rsidR="00D747CB">
        <w:fldChar w:fldCharType="begin"/>
      </w:r>
      <w:r w:rsidR="00D747CB">
        <w:instrText xml:space="preserve"> REF _Ref137729499 \r \h </w:instrText>
      </w:r>
      <w:r w:rsidR="00D747CB">
        <w:fldChar w:fldCharType="separate"/>
      </w:r>
      <w:r w:rsidR="00D747CB">
        <w:t>1.1</w:t>
      </w:r>
      <w:r w:rsidR="00D747CB">
        <w:fldChar w:fldCharType="end"/>
      </w:r>
      <w:r w:rsidR="007834E5">
        <w:t xml:space="preserve"> sur </w:t>
      </w:r>
      <w:r w:rsidR="007834E5" w:rsidRPr="006D3AE6">
        <w:t>la démarche générale</w:t>
      </w:r>
      <w:r w:rsidR="00E04E10">
        <w:t xml:space="preserve"> de Bpifrance Investissement</w:t>
      </w:r>
      <w:r w:rsidR="00F537B5">
        <w:t>)</w:t>
      </w:r>
      <w:r w:rsidR="00002F68">
        <w:t xml:space="preserve"> </w:t>
      </w:r>
      <w:r>
        <w:t xml:space="preserve">et au respect d'objectifs sociaux, environnementaux et de qualité de gouvernance (ESG) dans le cadre de sa Politique d'Investissement Responsable, et a défini les principales incidences négatives potentielles en matière de durabilité au regard des priorités RSE de Bpifrance, de sa politique d’investissement responsable et de ses engagements : </w:t>
      </w:r>
    </w:p>
    <w:p w14:paraId="5C6E24C7" w14:textId="243A7D60" w:rsidR="00183975" w:rsidRDefault="00183975" w:rsidP="005F79BA">
      <w:pPr>
        <w:pStyle w:val="Puce1"/>
      </w:pPr>
      <w:r>
        <w:t>Soutenir et accélérer la transition écologique et énergétique des entreprises</w:t>
      </w:r>
      <w:r w:rsidR="0031702F">
        <w:t>,</w:t>
      </w:r>
    </w:p>
    <w:p w14:paraId="0885BABE" w14:textId="72E8844B" w:rsidR="00183975" w:rsidRDefault="00183975" w:rsidP="005F79BA">
      <w:pPr>
        <w:pStyle w:val="Puce1"/>
      </w:pPr>
      <w:r>
        <w:t>Encourager la parité, dans les entreprises et dans les fonds, et, en particulier dans les organes de gouvernance et le management</w:t>
      </w:r>
      <w:r w:rsidR="0031702F">
        <w:t>,</w:t>
      </w:r>
    </w:p>
    <w:p w14:paraId="0D59B357" w14:textId="5D2828D5" w:rsidR="00183975" w:rsidRDefault="00183975" w:rsidP="005F79BA">
      <w:pPr>
        <w:pStyle w:val="Puce1"/>
      </w:pPr>
      <w:r>
        <w:t>Soutenir et développer l’emploi</w:t>
      </w:r>
      <w:r w:rsidR="0031702F">
        <w:t>,</w:t>
      </w:r>
    </w:p>
    <w:p w14:paraId="4541B971" w14:textId="68B34952" w:rsidR="00183975" w:rsidRDefault="00183975" w:rsidP="005F79BA">
      <w:pPr>
        <w:pStyle w:val="Puce1"/>
      </w:pPr>
      <w:r>
        <w:t>Encourager et promouvoir les bonnes pratiques de gouvernance et de management, notamment l’intégration des femmes</w:t>
      </w:r>
      <w:r w:rsidR="0031702F">
        <w:t>.</w:t>
      </w:r>
    </w:p>
    <w:p w14:paraId="0573FDAB" w14:textId="77777777" w:rsidR="00183975" w:rsidRDefault="00183975" w:rsidP="00183975"/>
    <w:p w14:paraId="5499C6C1" w14:textId="77777777" w:rsidR="002F69B4" w:rsidRPr="00663199" w:rsidRDefault="002F69B4" w:rsidP="002F69B4">
      <w:r w:rsidRPr="00663199">
        <w:t xml:space="preserve">Au-delà du respect des critères d’exclusion sectoriels définis au regard de leurs risques spécifiques, les critères ESG font partie intégrante des processus d’investissement de Bpifrance Investissement. </w:t>
      </w:r>
    </w:p>
    <w:p w14:paraId="2A6AAD6F" w14:textId="77777777" w:rsidR="002F69B4" w:rsidRPr="00663199" w:rsidRDefault="002F69B4" w:rsidP="002F69B4"/>
    <w:p w14:paraId="598C5490" w14:textId="2B0246A8" w:rsidR="002F69B4" w:rsidRPr="00663199" w:rsidRDefault="002F69B4" w:rsidP="002F69B4">
      <w:pPr>
        <w:pStyle w:val="Titre3"/>
      </w:pPr>
      <w:bookmarkStart w:id="76" w:name="_Toc117265697"/>
      <w:bookmarkStart w:id="77" w:name="_Toc139042756"/>
      <w:r w:rsidRPr="00663199">
        <w:t xml:space="preserve">En phase de </w:t>
      </w:r>
      <w:r w:rsidRPr="00891A9E">
        <w:rPr>
          <w:i/>
          <w:iCs/>
        </w:rPr>
        <w:t>due diligence</w:t>
      </w:r>
      <w:bookmarkEnd w:id="76"/>
      <w:bookmarkEnd w:id="77"/>
    </w:p>
    <w:p w14:paraId="7794FEF6" w14:textId="77777777" w:rsidR="002F69B4" w:rsidRPr="00663199" w:rsidRDefault="002F69B4" w:rsidP="00A46C5C">
      <w:pPr>
        <w:pStyle w:val="Titre4"/>
      </w:pPr>
      <w:r w:rsidRPr="00663199">
        <w:t xml:space="preserve">INVESTISSEMENT DIRECT </w:t>
      </w:r>
    </w:p>
    <w:p w14:paraId="2A061DBA" w14:textId="77777777" w:rsidR="002F69B4" w:rsidRPr="00663199" w:rsidRDefault="002F69B4" w:rsidP="002F69B4">
      <w:r w:rsidRPr="00663199">
        <w:t>En phase de due diligence, les équipes d’investissement réalisent un «</w:t>
      </w:r>
      <w:r>
        <w:t> </w:t>
      </w:r>
      <w:r w:rsidRPr="00663199">
        <w:t>état des lieux</w:t>
      </w:r>
      <w:r>
        <w:t> </w:t>
      </w:r>
      <w:r w:rsidRPr="00663199">
        <w:t>» ESG de l’entité à investir à partir de l’étude du dossier, avec l’aide d’un outil interne permettant d’identifier les enjeux ESG prioritaires en fonction de son secteur d’activité et de sa taille.</w:t>
      </w:r>
    </w:p>
    <w:p w14:paraId="47AF33E0" w14:textId="77777777" w:rsidR="002F69B4" w:rsidRDefault="002F69B4" w:rsidP="002F69B4">
      <w:r w:rsidRPr="00663199">
        <w:t xml:space="preserve">Cette phase permet d’identifier les risques ESG suffisamment importants pour ne pas investir et les enjeux pertinents au regard des caractéristiques de l'entreprise concernée, puis, sur la base d’un diagnostic partagé, de sensibiliser les dirigeants et susciter une démarche de progrès, en déterminant des actions d’améliorations en concertation avec l’entrepreneur. </w:t>
      </w:r>
    </w:p>
    <w:p w14:paraId="5B5E6DDD" w14:textId="77777777" w:rsidR="00A46C5C" w:rsidRPr="00663199" w:rsidRDefault="00A46C5C" w:rsidP="002F69B4"/>
    <w:p w14:paraId="2765E0E8" w14:textId="77777777" w:rsidR="002F69B4" w:rsidRPr="00663199" w:rsidRDefault="002F69B4" w:rsidP="002F69B4">
      <w:r w:rsidRPr="00663199">
        <w:t>Les enjeux identifiés feront ensuite l’objet d’un dialogue actionnarial et d’un suivi opérationnel des axes d'amélioration ESG identifiés, à travers le Conseil d’Administration ou de tout autre organe de gouvernance. L’analyse ainsi conduite repose, en amont de l’investissement, sur une approche essentiellement qualitative et les informations qualitatives ou quantitatives publiées ou communiquées par l’entreprise.</w:t>
      </w:r>
    </w:p>
    <w:p w14:paraId="0A71F788" w14:textId="77777777" w:rsidR="002F69B4" w:rsidRPr="00663199" w:rsidRDefault="002F69B4" w:rsidP="002F69B4">
      <w:r w:rsidRPr="00663199">
        <w:t>L’analyse ESG peut être menée avec l’aide d’un outil permettant d’identifier les enjeux ESG pertinents en fonction du méga secteur d’activité et de la taille de l’entreprise, et complétée, pour certains dossiers, par un audit externe. Elle s’articule autour des quatre priorités de la Charte du Développement Durable de Bpifrance :</w:t>
      </w:r>
    </w:p>
    <w:p w14:paraId="5131C850" w14:textId="11BF051C" w:rsidR="002F69B4" w:rsidRPr="00DF5566" w:rsidRDefault="002F69B4" w:rsidP="002F69B4">
      <w:pPr>
        <w:pStyle w:val="Puce1"/>
      </w:pPr>
      <w:r w:rsidRPr="00DF5566">
        <w:t>La transition écologique et énergétique</w:t>
      </w:r>
      <w:r w:rsidR="006D3E0F">
        <w:t>,</w:t>
      </w:r>
    </w:p>
    <w:p w14:paraId="7DDE8FD5" w14:textId="6833B49F" w:rsidR="002F69B4" w:rsidRPr="00DF5566" w:rsidRDefault="002F69B4" w:rsidP="002F69B4">
      <w:pPr>
        <w:pStyle w:val="Puce1"/>
      </w:pPr>
      <w:r w:rsidRPr="00DF5566">
        <w:t>Le développement de l’emploi, et plus particulièrement des jeunes</w:t>
      </w:r>
      <w:r w:rsidR="006D3E0F">
        <w:t>,</w:t>
      </w:r>
    </w:p>
    <w:p w14:paraId="5E40D85C" w14:textId="22A53378" w:rsidR="002F69B4" w:rsidRPr="00DF5566" w:rsidRDefault="002F69B4" w:rsidP="002F69B4">
      <w:pPr>
        <w:pStyle w:val="Puce1"/>
      </w:pPr>
      <w:r w:rsidRPr="00DF5566">
        <w:t>La qualité de la gouvernance et du management, notamment en y promouvant l’intégration des femmes</w:t>
      </w:r>
      <w:r w:rsidR="006D3E0F">
        <w:t>,</w:t>
      </w:r>
    </w:p>
    <w:p w14:paraId="78B93688" w14:textId="36B4582A" w:rsidR="002F69B4" w:rsidRPr="00DF5566" w:rsidRDefault="002F69B4" w:rsidP="002F69B4">
      <w:pPr>
        <w:pStyle w:val="Puce1"/>
      </w:pPr>
      <w:r w:rsidRPr="00DF5566">
        <w:t>L’entrepreneuriat féminin</w:t>
      </w:r>
      <w:r w:rsidR="006D3E0F">
        <w:t>.</w:t>
      </w:r>
    </w:p>
    <w:p w14:paraId="746DFBEF" w14:textId="77777777" w:rsidR="002F69B4" w:rsidRPr="00663199" w:rsidRDefault="002F69B4" w:rsidP="002F69B4"/>
    <w:p w14:paraId="18FF92F3" w14:textId="111FA4D4" w:rsidR="00A46C5C" w:rsidRPr="004E3454" w:rsidRDefault="002F69B4" w:rsidP="00A46C5C">
      <w:pPr>
        <w:keepNext/>
        <w:spacing w:after="240"/>
      </w:pPr>
      <w:r w:rsidRPr="00663199">
        <w:lastRenderedPageBreak/>
        <w:t>Et de quatre thèmes répartis sur quatorze questions :</w:t>
      </w:r>
    </w:p>
    <w:p w14:paraId="1BD7E589" w14:textId="77777777" w:rsidR="002F69B4" w:rsidRPr="00663199" w:rsidRDefault="002F69B4" w:rsidP="002F69B4">
      <w:pPr>
        <w:rPr>
          <w:rFonts w:asciiTheme="majorHAnsi" w:hAnsiTheme="majorHAnsi" w:cstheme="majorHAnsi"/>
        </w:rPr>
      </w:pPr>
      <w:r w:rsidRPr="00663199">
        <w:rPr>
          <w:rFonts w:asciiTheme="majorHAnsi" w:eastAsia="Calibri" w:hAnsiTheme="majorHAnsi" w:cstheme="majorHAnsi"/>
          <w:noProof/>
        </w:rPr>
        <w:drawing>
          <wp:inline distT="0" distB="0" distL="0" distR="0" wp14:anchorId="66FC02A1" wp14:editId="6CFDB78C">
            <wp:extent cx="5759450" cy="1898151"/>
            <wp:effectExtent l="19050" t="0" r="50800" b="6985"/>
            <wp:docPr id="31" name="Diagramme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48D735D" w14:textId="77777777" w:rsidR="002F69B4" w:rsidRPr="00663199" w:rsidRDefault="002F69B4" w:rsidP="002F69B4">
      <w:pPr>
        <w:rPr>
          <w:rFonts w:asciiTheme="majorHAnsi" w:hAnsiTheme="majorHAnsi" w:cstheme="majorHAnsi"/>
        </w:rPr>
      </w:pPr>
    </w:p>
    <w:p w14:paraId="018F9247" w14:textId="77777777" w:rsidR="002F69B4" w:rsidRPr="00663199" w:rsidRDefault="002F69B4" w:rsidP="002F69B4">
      <w:r w:rsidRPr="00663199">
        <w:t>Cet outil interne d’aide à l’analyse ESG propose aux investisseurs, en fonction des effectifs et secteur d’activité de l’entreprise, les enjeux ESG hiérarchisés à examiner avec l’entreprise. Après collecte des données auprès de l’entreprise, l’outil permet d’évaluer la prise en compte de ces enjeux, et de dégager des axes d’amélioration. Réalisée en interne, cette analyse peut être complétée, pour certains dossiers, par un audit plus complet, réalisé par un organisme externe.</w:t>
      </w:r>
    </w:p>
    <w:p w14:paraId="7BEB58F3" w14:textId="77777777" w:rsidR="002F69B4" w:rsidRPr="00663199" w:rsidRDefault="002F69B4" w:rsidP="002F69B4">
      <w:r w:rsidRPr="00663199">
        <w:t>Le résultat de l’analyse ESG – état des lieux, risques, démarche RSE et pratiques de l’entreprise, axes de progrès - est intégré dans le mémo d’investissement présenté au comité d’investissement et fait partie de l’appréciation portée sur l’entreprise. Il permet également de repérer des bonnes pratiques d’entreprises.</w:t>
      </w:r>
    </w:p>
    <w:p w14:paraId="0EC05419" w14:textId="77777777" w:rsidR="002F69B4" w:rsidRPr="00663199" w:rsidRDefault="002F69B4" w:rsidP="002F69B4"/>
    <w:p w14:paraId="0366FECE" w14:textId="77777777" w:rsidR="002F69B4" w:rsidRPr="00663199" w:rsidRDefault="002F69B4" w:rsidP="002F69B4">
      <w:pPr>
        <w:pStyle w:val="Titre4"/>
      </w:pPr>
      <w:r w:rsidRPr="00663199">
        <w:t>FONDS DE FONDS</w:t>
      </w:r>
    </w:p>
    <w:p w14:paraId="2149CF66" w14:textId="77777777" w:rsidR="002F69B4" w:rsidRPr="00663199" w:rsidRDefault="002F69B4" w:rsidP="002F69B4">
      <w:r w:rsidRPr="00663199">
        <w:t xml:space="preserve">Bpifrance Investissement engage avec chaque société de gestion une concertation, en vue de faire connaitre et partager son engagement, de sensibiliser et d’emporter l’adhésion. </w:t>
      </w:r>
    </w:p>
    <w:p w14:paraId="27A63620" w14:textId="2307778E" w:rsidR="002F69B4" w:rsidRPr="00663199" w:rsidRDefault="002F69B4" w:rsidP="002F69B4">
      <w:r w:rsidRPr="00663199">
        <w:t xml:space="preserve">Avant l’investissement, elle </w:t>
      </w:r>
      <w:r w:rsidR="007959DF">
        <w:t xml:space="preserve">réalise des due diligences </w:t>
      </w:r>
      <w:r w:rsidRPr="00663199">
        <w:t xml:space="preserve"> ESG d’une part sur la société de gestion et sa propre politique de RSE en tant qu’entreprise, d’autre part sur la prise en compte des critères ESG dans son métier d’investisseur. </w:t>
      </w:r>
      <w:r w:rsidR="00851A2A">
        <w:t>Elles ont</w:t>
      </w:r>
      <w:r w:rsidRPr="00663199">
        <w:t xml:space="preserve">  pour objectifs d’évaluer l’intégration de la démarche d’investissement responsable de la société de gestion, dans ses investissements, d’une part, et, d’autre part, le déploiement d’une démarche de responsabilité sociétale dans son fonctionnement, avec une attention particulière sur les questions de gouvernance, d’égalité professionnelle et environnementales, en cohérence avec les quatre priorités de la Charte de Développement Durable de Bpifrance.</w:t>
      </w:r>
    </w:p>
    <w:p w14:paraId="2E773AB3" w14:textId="77777777" w:rsidR="002F69B4" w:rsidRDefault="002F69B4" w:rsidP="002F69B4">
      <w:r w:rsidRPr="00663199">
        <w:t>La note ESG est intégrée à la note d’investissement et fait partie des éléments d’appréciation de celui-ci.</w:t>
      </w:r>
    </w:p>
    <w:p w14:paraId="2F13AD09" w14:textId="77777777" w:rsidR="002F69B4" w:rsidRPr="00663199" w:rsidRDefault="002F69B4" w:rsidP="002F69B4"/>
    <w:p w14:paraId="20E1FB1A" w14:textId="77777777" w:rsidR="002F69B4" w:rsidRPr="00663199" w:rsidRDefault="002F69B4" w:rsidP="002F69B4">
      <w:pPr>
        <w:pStyle w:val="Titre3"/>
      </w:pPr>
      <w:bookmarkStart w:id="78" w:name="_Toc117265698"/>
      <w:bookmarkStart w:id="79" w:name="_Toc139042757"/>
      <w:r w:rsidRPr="008A4A75">
        <w:t>En</w:t>
      </w:r>
      <w:r w:rsidRPr="00663199">
        <w:t xml:space="preserve"> phase de suivi </w:t>
      </w:r>
      <w:r w:rsidRPr="002F69B4">
        <w:t>d’investissement</w:t>
      </w:r>
      <w:bookmarkEnd w:id="78"/>
      <w:bookmarkEnd w:id="79"/>
    </w:p>
    <w:p w14:paraId="186ADD34" w14:textId="77777777" w:rsidR="002F69B4" w:rsidRPr="00663199" w:rsidRDefault="002F69B4" w:rsidP="002F69B4">
      <w:pPr>
        <w:pStyle w:val="Titre4"/>
      </w:pPr>
      <w:r w:rsidRPr="00663199">
        <w:t>INVESTISSEMENT DIRECT</w:t>
      </w:r>
    </w:p>
    <w:p w14:paraId="56B4D5AD" w14:textId="77777777" w:rsidR="002F69B4" w:rsidRPr="00663199" w:rsidRDefault="002F69B4" w:rsidP="002F69B4">
      <w:r w:rsidRPr="00663199">
        <w:t>Dans la suite de la décision d’investissement, les axes de progrès, identifiés dans le cadre de l’analyse ESG, sont discutés et calibrés en concertation avec le dirigeant, et concrétisés par une clause de responsabilité sociétale de l’entreprise (RSE) intégrée au pacte d’actionnaires.</w:t>
      </w:r>
    </w:p>
    <w:p w14:paraId="72763A1E" w14:textId="77777777" w:rsidR="002F69B4" w:rsidRPr="00663199" w:rsidRDefault="002F69B4" w:rsidP="002F69B4">
      <w:r w:rsidRPr="00663199">
        <w:t>Tout au long de la détention de la participation, l’évolution de l’entreprise sur ces enjeux ESG clés sera suivie dans le cadre d’un dialogue régulier avec Bpifrance Investissement, dans le cadre des organes de gouvernance auxquels participe, dans la mesure du possible, un représentant de Bpifrance, ou dans le cadre de rencontres de suivi. Pendant cette période, l’évolution de l’entreprise est évaluée sur les informations publiées ou communiquées aux organes de gouvernance dans lesquels siège un représentant de Bpifrance Investissement, ou lors des rencontres de suivi.</w:t>
      </w:r>
    </w:p>
    <w:p w14:paraId="3CA07CCC" w14:textId="77777777" w:rsidR="002F69B4" w:rsidRPr="00663199" w:rsidRDefault="002F69B4" w:rsidP="002F69B4">
      <w:r w:rsidRPr="00663199">
        <w:t>En outre, en phase de suivi, les entreprises investies sont interrogées annuellement sur la base d’un questionnaire dédié, sur leurs politiques et pratiques, en matière environnementale, sociale et de gouvernance, ainsi que sur des indicateurs quantitatifs. Leurs réponses sont collectées via un outil en ligne, et permettent un suivi agrégé d’indicateurs d’intégration et de performances ESG, discutés entre la Direction du Développement durable et de la RSE et les équipes d’investissement, sur les thématiques à faire progresser dans le cadre du suivi des entreprises investies et du dialogue actionnarial.</w:t>
      </w:r>
    </w:p>
    <w:p w14:paraId="73E06729" w14:textId="77777777" w:rsidR="002F69B4" w:rsidRPr="00663199" w:rsidRDefault="002F69B4" w:rsidP="002F69B4"/>
    <w:p w14:paraId="02E293EC" w14:textId="77777777" w:rsidR="002F69B4" w:rsidRPr="00663199" w:rsidRDefault="002F69B4" w:rsidP="002F69B4">
      <w:pPr>
        <w:pStyle w:val="Titre4"/>
      </w:pPr>
      <w:r w:rsidRPr="00663199">
        <w:lastRenderedPageBreak/>
        <w:t>FONDS DE FONDS</w:t>
      </w:r>
    </w:p>
    <w:p w14:paraId="49517A4F" w14:textId="77777777" w:rsidR="002F69B4" w:rsidRPr="00663199" w:rsidRDefault="002F69B4" w:rsidP="002F69B4">
      <w:r w:rsidRPr="00663199">
        <w:t xml:space="preserve">Pendant la durée de vie du fonds, Bpifrance Investissement encourage ses sociétés de gestion partenaires à adopter à leur tour une démarche d’intégration de critères ESG dans leurs analyses des investissements au titre des fonds souscrits par Bpifrance Investissement. </w:t>
      </w:r>
    </w:p>
    <w:p w14:paraId="55CDFDAB" w14:textId="77777777" w:rsidR="002F69B4" w:rsidRPr="00663199" w:rsidRDefault="002F69B4" w:rsidP="002F69B4">
      <w:r w:rsidRPr="00663199">
        <w:t>Les sociétés de gestion doivent fournir un reporting annuel sur ces sujets, qui porte sur leurs pratiques en tant qu’entreprise, et dans leur métier d’investisseur, ainsi que sur les entreprises investies par les fonds souscrits par Bpifrance.</w:t>
      </w:r>
    </w:p>
    <w:p w14:paraId="5A897936" w14:textId="77777777" w:rsidR="002F69B4" w:rsidRPr="003B3A68" w:rsidRDefault="002F69B4" w:rsidP="002F69B4">
      <w:pPr>
        <w:rPr>
          <w:rFonts w:ascii="Impact" w:hAnsi="Impact" w:cstheme="majorBidi"/>
        </w:rPr>
      </w:pPr>
      <w:r w:rsidRPr="00663199">
        <w:t>En outre, en phase de suivi, les sociétés de gestion des fonds investis par Bpifrance Investissement et les entreprises investies par ces fonds sont interrogées annuellement sur la base d’un questionnaire dédié, sur leurs politiques et pratiques, en matière environnementale, sociale et de gouvernance, ainsi que sur des indicateurs quantitatifs. Leurs réponses sont collectées via un outil en ligne, et permettent un suivi agrégé d’indicateurs d’intégration et de performances ESG, discutés entre la Direction du Développement durable et de la RSE et les équipes d’investissement, sur les thématiques à faire progresser dans le cadre du suivi des entreprises investies et du dialogue actionnarial.</w:t>
      </w:r>
    </w:p>
    <w:p w14:paraId="48147A04" w14:textId="77777777" w:rsidR="002F69B4" w:rsidRDefault="002F69B4" w:rsidP="00183975"/>
    <w:p w14:paraId="18AA2D59" w14:textId="48EA41FD" w:rsidR="00C60ECA" w:rsidRDefault="000E659B" w:rsidP="00306121">
      <w:pPr>
        <w:pStyle w:val="Titre2"/>
      </w:pPr>
      <w:bookmarkStart w:id="80" w:name="_Toc139042758"/>
      <w:r>
        <w:t>D</w:t>
      </w:r>
      <w:r w:rsidR="00C60ECA" w:rsidRPr="007E483F">
        <w:t xml:space="preserve">escription des principaux risques </w:t>
      </w:r>
      <w:r w:rsidR="002B4D30">
        <w:t xml:space="preserve">ESG </w:t>
      </w:r>
      <w:r w:rsidR="00C60ECA" w:rsidRPr="007E483F">
        <w:t xml:space="preserve">pris en compte </w:t>
      </w:r>
      <w:r w:rsidR="00040316">
        <w:t>par Bpifrance Investissement</w:t>
      </w:r>
      <w:bookmarkEnd w:id="80"/>
    </w:p>
    <w:p w14:paraId="6609EEF6" w14:textId="77777777" w:rsidR="005D5AC7" w:rsidRPr="005D5AC7" w:rsidRDefault="005D5AC7" w:rsidP="005D5AC7"/>
    <w:p w14:paraId="044EE20D" w14:textId="77777777" w:rsidR="000F7054" w:rsidRDefault="000F7054" w:rsidP="000F7054">
      <w:pPr>
        <w:pStyle w:val="Titre3"/>
      </w:pPr>
      <w:bookmarkStart w:id="81" w:name="_Toc117265693"/>
      <w:bookmarkStart w:id="82" w:name="_Toc139042759"/>
      <w:r w:rsidRPr="00663199">
        <w:t>Les critères et risques de gouvernance</w:t>
      </w:r>
      <w:bookmarkEnd w:id="81"/>
      <w:bookmarkEnd w:id="82"/>
    </w:p>
    <w:p w14:paraId="6142CCA3" w14:textId="77777777" w:rsidR="000F7054" w:rsidRPr="00663199" w:rsidRDefault="000F7054" w:rsidP="000F7054">
      <w:r w:rsidRPr="00663199">
        <w:t xml:space="preserve">La mise en place de principes de bonne gouvernance reconnus (séparation des pouvoirs de contrôle et de gestion, diversité des profils, avis externes, etc.) vise à favoriser la création de valeur pour l’ensemble des parties prenantes de l’entreprise. </w:t>
      </w:r>
    </w:p>
    <w:p w14:paraId="5AB160BB" w14:textId="77777777" w:rsidR="000F7054" w:rsidRPr="00663199" w:rsidRDefault="000F7054" w:rsidP="000F7054">
      <w:r w:rsidRPr="00663199">
        <w:t xml:space="preserve">Les enjeux de gouvernance sont donc majeurs dans l’analyse des risques de controverses éthiques, environnementales et sociales. </w:t>
      </w:r>
    </w:p>
    <w:p w14:paraId="61D8C5C4" w14:textId="77777777" w:rsidR="000F7054" w:rsidRPr="00663199" w:rsidRDefault="000F7054" w:rsidP="000F7054">
      <w:r w:rsidRPr="00663199">
        <w:t>Bpifrance Investissement attache la plus grande importance à une gouvernance structurée, éthique, transparente et attentive au respect de ses parties prenantes, facteurs clés de stabilité, de conduite des affaires, de réputation de l’organisation, et l’analyse menée par Bpifrance Investissement a pour objectif de s’assurer de l’organisation de la gouvernance et des procédures et mécanismes mis en place, de contrôle et de surveillance, mais aussi de la stratégie et de la capacité de la gouvernance à anticiper, notamment sur les réglementations et les enjeux extra-financiers, au rang desquels l’environnement dont le climat, l’emploi, la mixité…</w:t>
      </w:r>
    </w:p>
    <w:p w14:paraId="5427D641" w14:textId="77777777" w:rsidR="000F7054" w:rsidRDefault="000F7054" w:rsidP="000F7054">
      <w:r w:rsidRPr="00663199">
        <w:t xml:space="preserve">La prise en compte et le suivi de ces critères </w:t>
      </w:r>
      <w:r>
        <w:t>est</w:t>
      </w:r>
      <w:r w:rsidRPr="00663199">
        <w:t xml:space="preserve"> considéré</w:t>
      </w:r>
      <w:r>
        <w:t>e</w:t>
      </w:r>
      <w:r w:rsidRPr="00663199">
        <w:t xml:space="preserve"> comme majeur par Bpifrance Investissement, qui siège</w:t>
      </w:r>
      <w:r>
        <w:t>,</w:t>
      </w:r>
      <w:r w:rsidRPr="00663199">
        <w:t xml:space="preserve"> dans la mesure du possible aux conseils d’administration des participations de son portefeuille et aux comités consultatifs et stratégiques des fonds partenaires.</w:t>
      </w:r>
    </w:p>
    <w:p w14:paraId="17536497" w14:textId="77777777" w:rsidR="000F7054" w:rsidRPr="00663199" w:rsidRDefault="000F7054" w:rsidP="000F7054"/>
    <w:p w14:paraId="7546BAB0" w14:textId="77777777" w:rsidR="000F7054" w:rsidRDefault="000F7054" w:rsidP="000F7054">
      <w:pPr>
        <w:pStyle w:val="Titre3"/>
      </w:pPr>
      <w:bookmarkStart w:id="83" w:name="_Toc117265694"/>
      <w:bookmarkStart w:id="84" w:name="_Toc139042760"/>
      <w:r w:rsidRPr="00663199">
        <w:t>Les critères et risques sociaux</w:t>
      </w:r>
      <w:bookmarkEnd w:id="83"/>
      <w:bookmarkEnd w:id="84"/>
    </w:p>
    <w:p w14:paraId="3574D6DE" w14:textId="77777777" w:rsidR="000F7054" w:rsidRPr="00663199" w:rsidRDefault="000F7054" w:rsidP="000F7054">
      <w:r w:rsidRPr="00663199">
        <w:t>Les critères sociaux concernent l’attention portée :</w:t>
      </w:r>
    </w:p>
    <w:p w14:paraId="5E63CFE6" w14:textId="503EF3E0" w:rsidR="000F7054" w:rsidRPr="00F1473F" w:rsidRDefault="000F7054" w:rsidP="000F7054">
      <w:pPr>
        <w:pStyle w:val="Puce1"/>
      </w:pPr>
      <w:r w:rsidRPr="00F1473F">
        <w:t>A la santé et la sécurité des salariés et de l</w:t>
      </w:r>
      <w:r w:rsidR="00324F42">
        <w:t xml:space="preserve">eur </w:t>
      </w:r>
      <w:r w:rsidRPr="00F1473F">
        <w:t xml:space="preserve">qualité de vie au travail, </w:t>
      </w:r>
    </w:p>
    <w:p w14:paraId="362B8ECF" w14:textId="77777777" w:rsidR="000F7054" w:rsidRPr="00F1473F" w:rsidRDefault="000F7054" w:rsidP="000F7054">
      <w:pPr>
        <w:pStyle w:val="Puce1"/>
      </w:pPr>
      <w:r w:rsidRPr="00F1473F">
        <w:t>A</w:t>
      </w:r>
      <w:r>
        <w:t xml:space="preserve"> </w:t>
      </w:r>
      <w:r w:rsidRPr="00F1473F">
        <w:t>la formation et à l’accompagnement des carrières, à la diversité, à des politiques de recrutement non pertinentes</w:t>
      </w:r>
      <w:r>
        <w:t>,</w:t>
      </w:r>
    </w:p>
    <w:p w14:paraId="40127663" w14:textId="77777777" w:rsidR="000F7054" w:rsidRDefault="000F7054" w:rsidP="000F7054">
      <w:pPr>
        <w:pStyle w:val="Puce1"/>
      </w:pPr>
      <w:r w:rsidRPr="00F1473F">
        <w:t>A</w:t>
      </w:r>
      <w:r>
        <w:t xml:space="preserve"> </w:t>
      </w:r>
      <w:r w:rsidRPr="00F1473F">
        <w:t>un dialogue social et des politiques de rémunération en rupture avec les attentes et les pratiques</w:t>
      </w:r>
      <w:r>
        <w:t>.</w:t>
      </w:r>
    </w:p>
    <w:p w14:paraId="26DA5B46" w14:textId="77777777" w:rsidR="0066088C" w:rsidRPr="00F1473F" w:rsidRDefault="0066088C" w:rsidP="0066088C">
      <w:pPr>
        <w:pStyle w:val="Puce1"/>
        <w:numPr>
          <w:ilvl w:val="0"/>
          <w:numId w:val="0"/>
        </w:numPr>
      </w:pPr>
    </w:p>
    <w:p w14:paraId="1F548FFB" w14:textId="77777777" w:rsidR="000F7054" w:rsidRPr="00663199" w:rsidRDefault="000F7054" w:rsidP="000F7054">
      <w:r w:rsidRPr="00663199">
        <w:t>L’absence ou la prise en compte inapproprié</w:t>
      </w:r>
      <w:r>
        <w:t>e</w:t>
      </w:r>
      <w:r w:rsidRPr="00663199">
        <w:t xml:space="preserve"> de ces sujets peuvent générer accidents et absentéisme, inadéquation et inadaptation des compétences aux besoins, mouvements sociaux, incapacité à recruter les talents en raison d’une marque employeur détériorée, qui nuisent à la productivité, à la réputation et à la performance globale.</w:t>
      </w:r>
    </w:p>
    <w:p w14:paraId="0A2445C3" w14:textId="77777777" w:rsidR="000F7054" w:rsidRDefault="000F7054" w:rsidP="000F7054">
      <w:r w:rsidRPr="00663199">
        <w:t>Ces critères sont également considérés comme majeurs par Bpifrance Investissement, qui considère les ressources humaines comme première richesse de l’organisation, l’attention portée aux personnes et le dialogue social comme méthode de progrès et de résolution des problèmes.</w:t>
      </w:r>
    </w:p>
    <w:p w14:paraId="2C94F872" w14:textId="77777777" w:rsidR="000F7054" w:rsidRDefault="000F7054" w:rsidP="000F7054"/>
    <w:p w14:paraId="6A0C0680" w14:textId="77777777" w:rsidR="000F7054" w:rsidRDefault="000F7054" w:rsidP="000F7054">
      <w:pPr>
        <w:pStyle w:val="Titre3"/>
      </w:pPr>
      <w:bookmarkStart w:id="85" w:name="_Toc117265695"/>
      <w:bookmarkStart w:id="86" w:name="_Toc139042761"/>
      <w:r w:rsidRPr="00663199">
        <w:lastRenderedPageBreak/>
        <w:t>Les critères et risques environnementaux</w:t>
      </w:r>
      <w:bookmarkEnd w:id="85"/>
      <w:bookmarkEnd w:id="86"/>
    </w:p>
    <w:p w14:paraId="6A625B93" w14:textId="77777777" w:rsidR="000F7054" w:rsidRPr="00663199" w:rsidRDefault="000F7054" w:rsidP="000F7054">
      <w:r w:rsidRPr="00663199">
        <w:t>Les risques environnementaux peuvent résulter du non-respect de la réglementation applicable à certaines activités, par exemple en matière de prévention des risques de pollution, mais également d’une insuffisante prise en compte ou d’une absence d’anticipation dans la prise en compte des risques résultant du changement climatique et des atteintes à la biodiversité.</w:t>
      </w:r>
    </w:p>
    <w:p w14:paraId="5A601900" w14:textId="3D5B3C50" w:rsidR="000F7054" w:rsidRPr="00663199" w:rsidRDefault="000F7054" w:rsidP="000F7054">
      <w:pPr>
        <w:pStyle w:val="Puce1"/>
      </w:pPr>
      <w:r w:rsidRPr="00663199">
        <w:t>Les critères environnementaux sont à examiner tant au niveau de la politique environnementale et de son management que des plans d’action déployés, en fonction de la matérialité des enjeux au regard de l’activité et de la taille de l’entreprise ou des objectifs d’investissement du fonds, et des risques qui peuvent en résulter, notamment de ceux liés au changement climatique</w:t>
      </w:r>
      <w:r w:rsidR="00040316">
        <w:t>,</w:t>
      </w:r>
    </w:p>
    <w:p w14:paraId="33AC05D8" w14:textId="6B946FDE" w:rsidR="000F7054" w:rsidRPr="00663199" w:rsidRDefault="000F7054" w:rsidP="000F7054">
      <w:pPr>
        <w:pStyle w:val="Puce1"/>
      </w:pPr>
      <w:r w:rsidRPr="00663199">
        <w:t>Les risques physiques liés au changement climatique et aux atteintes à la biodiversité peuvent peser sur les capacités opérationnelles de l’activité (par exemple en provoquant des nuisances aux biens matériels en raison de catastrophes climatiques, en perturbant les sources d’approvisionnement en matières premières telles que l’eau, ou la circulation des biens et des personnes)</w:t>
      </w:r>
      <w:r w:rsidR="00040316">
        <w:t>,</w:t>
      </w:r>
    </w:p>
    <w:p w14:paraId="6968F812" w14:textId="77777777" w:rsidR="000F7054" w:rsidRPr="00663199" w:rsidRDefault="000F7054" w:rsidP="000F7054">
      <w:pPr>
        <w:pStyle w:val="Puce1"/>
      </w:pPr>
      <w:r w:rsidRPr="00663199">
        <w:t>Les risques de transition résultent de l’absence ou du retard de mise en œuvre de trajectoires de décarbonation des activités, au regard des évolutions réglementaires et/ou technologiques générées par le changement climatique, obérant la performance globale du modèle économique de l’organisation, voire l’annihilant, en raison des coûts d’investissements ou de réputation non anticipés.</w:t>
      </w:r>
    </w:p>
    <w:p w14:paraId="7B01CB1D" w14:textId="77777777" w:rsidR="000F7054" w:rsidRDefault="000F7054" w:rsidP="000F7054"/>
    <w:p w14:paraId="0EDA0C0D" w14:textId="77777777" w:rsidR="000F7054" w:rsidRPr="00663199" w:rsidRDefault="000F7054" w:rsidP="000F7054">
      <w:r w:rsidRPr="00663199">
        <w:t xml:space="preserve">Investisseur patient, Bpifrance Investissement est confronté aux risques de pertes résultant des risques environnementaux, et, particulièrement, des risques physiques et/ou de transition de ses participations. </w:t>
      </w:r>
    </w:p>
    <w:p w14:paraId="5E0D1395" w14:textId="068A48F9" w:rsidR="000F7054" w:rsidRDefault="000F7054" w:rsidP="000F7054">
      <w:r w:rsidRPr="00663199">
        <w:t>La prise en compte des critères environnementaux dans ses investissements, engagée avec la mise en place d’une politique d’investissement responsable</w:t>
      </w:r>
      <w:r w:rsidR="00597C0B">
        <w:t>,</w:t>
      </w:r>
      <w:r w:rsidRPr="00663199">
        <w:t xml:space="preserve"> a été renforcée par Bpifrance Investissement au fil des engagements publics souscrits et, plus récemment encore, par le Plan Climat de Bpifrance, en cours de déploiement opérationnel dans les métiers de Bpifrance Investissement.</w:t>
      </w:r>
    </w:p>
    <w:p w14:paraId="4CEC7B39" w14:textId="77777777" w:rsidR="000F7054" w:rsidRPr="007E483F" w:rsidRDefault="000F7054" w:rsidP="000F7054"/>
    <w:p w14:paraId="197E65B4" w14:textId="481E82CD" w:rsidR="00C60ECA" w:rsidRPr="007E483F" w:rsidRDefault="00476636" w:rsidP="00306121">
      <w:pPr>
        <w:pStyle w:val="Titre2"/>
      </w:pPr>
      <w:bookmarkStart w:id="87" w:name="_Toc139042762"/>
      <w:r>
        <w:t>F</w:t>
      </w:r>
      <w:r w:rsidR="00C60ECA" w:rsidRPr="007E483F">
        <w:t>réquence de la revue du cadre de gestion des risques</w:t>
      </w:r>
      <w:bookmarkEnd w:id="87"/>
      <w:r w:rsidR="00C60ECA" w:rsidRPr="007E483F">
        <w:t xml:space="preserve"> </w:t>
      </w:r>
    </w:p>
    <w:p w14:paraId="1642A11F" w14:textId="445241E3" w:rsidR="00424450" w:rsidRPr="00424450" w:rsidRDefault="0023191D" w:rsidP="00424450">
      <w:r w:rsidRPr="0023191D">
        <w:t>Le cadre de gestion des risques est revu tous les ans.</w:t>
      </w:r>
    </w:p>
    <w:p w14:paraId="211058A0" w14:textId="1ABA1F2F" w:rsidR="00C60ECA" w:rsidRPr="007E483F" w:rsidRDefault="00476636" w:rsidP="00306121">
      <w:pPr>
        <w:pStyle w:val="Titre2"/>
      </w:pPr>
      <w:bookmarkStart w:id="88" w:name="_Un_plan_d'action"/>
      <w:bookmarkStart w:id="89" w:name="_Toc139042763"/>
      <w:bookmarkEnd w:id="88"/>
      <w:r>
        <w:t>P</w:t>
      </w:r>
      <w:r w:rsidR="00C60ECA" w:rsidRPr="007E483F">
        <w:t xml:space="preserve">lan d'action visant à réduire l'exposition aux principaux risques en matière </w:t>
      </w:r>
      <w:r w:rsidR="00E265B8">
        <w:t>ESG</w:t>
      </w:r>
      <w:bookmarkEnd w:id="89"/>
    </w:p>
    <w:p w14:paraId="0DB23C83" w14:textId="2D52C00D" w:rsidR="00775523" w:rsidRDefault="0098477F" w:rsidP="00775523">
      <w:r>
        <w:t xml:space="preserve">Bpifrance Investissement, au même titre que le groupe Bpifrance, </w:t>
      </w:r>
      <w:r w:rsidR="00A71F66">
        <w:t>cherche</w:t>
      </w:r>
      <w:r>
        <w:t xml:space="preserve"> à </w:t>
      </w:r>
      <w:r w:rsidR="00A71F66">
        <w:t>accompagner les entreprises dans leur développement et leur croissance.</w:t>
      </w:r>
      <w:r w:rsidR="007E0783">
        <w:t xml:space="preserve"> Outre les exclusions sectorielles </w:t>
      </w:r>
      <w:r w:rsidR="006A0480">
        <w:t>et l</w:t>
      </w:r>
      <w:r w:rsidR="00860E0A">
        <w:t xml:space="preserve">es </w:t>
      </w:r>
      <w:r w:rsidR="006A0480">
        <w:t>analyse</w:t>
      </w:r>
      <w:r w:rsidR="00860E0A">
        <w:t>s</w:t>
      </w:r>
      <w:r w:rsidR="006A0480">
        <w:t xml:space="preserve"> </w:t>
      </w:r>
      <w:r w:rsidR="00044D2B">
        <w:t>pré</w:t>
      </w:r>
      <w:r w:rsidR="003C174B">
        <w:t>- et post-investissement</w:t>
      </w:r>
      <w:r w:rsidR="00860E0A" w:rsidRPr="00860E0A">
        <w:t xml:space="preserve"> </w:t>
      </w:r>
      <w:r w:rsidR="00860E0A">
        <w:t>détaillées précédemment</w:t>
      </w:r>
      <w:r w:rsidR="00DA0007">
        <w:t>, l</w:t>
      </w:r>
      <w:r w:rsidR="007E0783">
        <w:t>’e</w:t>
      </w:r>
      <w:r w:rsidR="00DE32F4">
        <w:t>ngagement avec les entreprises</w:t>
      </w:r>
      <w:r w:rsidR="005C1835">
        <w:t xml:space="preserve"> </w:t>
      </w:r>
      <w:r w:rsidR="00F955E7" w:rsidRPr="00F955E7">
        <w:t>constitue l’un des principaux</w:t>
      </w:r>
      <w:r w:rsidR="005C1835" w:rsidRPr="00F955E7">
        <w:t xml:space="preserve"> levier</w:t>
      </w:r>
      <w:r w:rsidR="00F955E7" w:rsidRPr="00F955E7">
        <w:t>s</w:t>
      </w:r>
      <w:r w:rsidR="00F955E7">
        <w:t xml:space="preserve"> de Bpifrance Investissement</w:t>
      </w:r>
      <w:r w:rsidR="005C1835">
        <w:t xml:space="preserve"> pour réduire </w:t>
      </w:r>
      <w:r w:rsidR="00B774CE">
        <w:t xml:space="preserve">son </w:t>
      </w:r>
      <w:r w:rsidR="005C1835">
        <w:t>exposition aux risques ESG</w:t>
      </w:r>
      <w:r w:rsidR="003E67B7">
        <w:t xml:space="preserve">. </w:t>
      </w:r>
    </w:p>
    <w:p w14:paraId="0BFCE184" w14:textId="77777777" w:rsidR="00D346EA" w:rsidRDefault="00D346EA" w:rsidP="00775523"/>
    <w:p w14:paraId="0D262AAE" w14:textId="49FE77AD" w:rsidR="00EA0FD3" w:rsidRDefault="001C175A" w:rsidP="00632C24">
      <w:r>
        <w:t>Le groupe Bpifrance a développé tout un continuum de solutions et d</w:t>
      </w:r>
      <w:r w:rsidR="00EA0FD3">
        <w:t xml:space="preserve">’accompagnements pour aider </w:t>
      </w:r>
      <w:r w:rsidR="008206AD">
        <w:t xml:space="preserve">les entreprises </w:t>
      </w:r>
      <w:r w:rsidR="00EA0FD3">
        <w:t>à réduire leurs risques ESG, au même titre que financier</w:t>
      </w:r>
      <w:r w:rsidR="0086396A">
        <w:t>s</w:t>
      </w:r>
      <w:r w:rsidR="00EA0FD3">
        <w:t>.</w:t>
      </w:r>
      <w:r w:rsidR="00632C24">
        <w:t xml:space="preserve"> Ces solutions sont accessibles aux participations de Bpifrance Investissement et </w:t>
      </w:r>
      <w:r w:rsidR="00EA0FD3">
        <w:t>incluent</w:t>
      </w:r>
      <w:r w:rsidR="009F0955">
        <w:t xml:space="preserve"> </w:t>
      </w:r>
      <w:r w:rsidR="008E308E">
        <w:t xml:space="preserve">entre autres </w:t>
      </w:r>
      <w:r w:rsidR="009F0955">
        <w:t>les produits et services suivants</w:t>
      </w:r>
      <w:r w:rsidR="00EA0FD3">
        <w:t> :</w:t>
      </w:r>
    </w:p>
    <w:p w14:paraId="4D5508B3" w14:textId="68E4A49A" w:rsidR="00EA0FD3" w:rsidRDefault="00632C24" w:rsidP="00EA0FD3">
      <w:pPr>
        <w:pStyle w:val="Paragraphedeliste"/>
        <w:numPr>
          <w:ilvl w:val="0"/>
          <w:numId w:val="9"/>
        </w:numPr>
      </w:pPr>
      <w:r>
        <w:t>Bpifrance Université</w:t>
      </w:r>
      <w:r w:rsidR="00505642">
        <w:t>, qui offre près de 500 formations</w:t>
      </w:r>
      <w:r w:rsidR="00477F9E">
        <w:t xml:space="preserve"> gratuites pour se former en ligne</w:t>
      </w:r>
      <w:r w:rsidR="00404720">
        <w:t>,</w:t>
      </w:r>
    </w:p>
    <w:p w14:paraId="0F2602F8" w14:textId="4AAA055E" w:rsidR="00632C24" w:rsidRDefault="007A00ED" w:rsidP="00EA0FD3">
      <w:pPr>
        <w:pStyle w:val="Paragraphedeliste"/>
        <w:numPr>
          <w:ilvl w:val="0"/>
          <w:numId w:val="9"/>
        </w:numPr>
      </w:pPr>
      <w:r>
        <w:t>Bpifrance le Lab</w:t>
      </w:r>
      <w:r w:rsidR="00221D01">
        <w:t>, l</w:t>
      </w:r>
      <w:r w:rsidR="00221D01" w:rsidRPr="00221D01">
        <w:t>e laboratoire d’idées de Bpifrance à destination des PME-ETI</w:t>
      </w:r>
    </w:p>
    <w:p w14:paraId="37436980" w14:textId="1C00E5E4" w:rsidR="007A00ED" w:rsidRDefault="007A00ED" w:rsidP="00EA0FD3">
      <w:pPr>
        <w:pStyle w:val="Paragraphedeliste"/>
        <w:numPr>
          <w:ilvl w:val="0"/>
          <w:numId w:val="9"/>
        </w:numPr>
      </w:pPr>
      <w:r>
        <w:t xml:space="preserve">Des </w:t>
      </w:r>
      <w:r w:rsidR="00B13D41">
        <w:t xml:space="preserve">programmes semi-collectifs pour initier les entreprises </w:t>
      </w:r>
      <w:r w:rsidR="007B25E3">
        <w:t>aux enjeux de durabilité</w:t>
      </w:r>
    </w:p>
    <w:p w14:paraId="61004C1C" w14:textId="00B4513B" w:rsidR="00552B17" w:rsidRDefault="007B25E3" w:rsidP="00EA0FD3">
      <w:pPr>
        <w:pStyle w:val="Paragraphedeliste"/>
        <w:numPr>
          <w:ilvl w:val="0"/>
          <w:numId w:val="9"/>
        </w:numPr>
      </w:pPr>
      <w:r>
        <w:t>Des programmes d’accompagnement sur-mesure</w:t>
      </w:r>
      <w:r w:rsidR="00E72D15">
        <w:t xml:space="preserve"> pour structurer et solidifier les entreprises,</w:t>
      </w:r>
      <w:r w:rsidR="00D86ACD">
        <w:t xml:space="preserve"> les aider à s’adapter aux enjeux </w:t>
      </w:r>
      <w:r w:rsidR="00336644">
        <w:t>présents</w:t>
      </w:r>
      <w:r w:rsidR="00D86ACD">
        <w:t xml:space="preserve"> et futurs et échanger avec leurs pairs sur des problématiques communes</w:t>
      </w:r>
      <w:r>
        <w:t>, incluant</w:t>
      </w:r>
      <w:r w:rsidR="00552B17">
        <w:t> :</w:t>
      </w:r>
    </w:p>
    <w:p w14:paraId="727E81FE" w14:textId="3E8D5181" w:rsidR="007B25E3" w:rsidRDefault="00552B17" w:rsidP="00552B17">
      <w:pPr>
        <w:pStyle w:val="Paragraphedeliste"/>
        <w:numPr>
          <w:ilvl w:val="1"/>
          <w:numId w:val="9"/>
        </w:numPr>
      </w:pPr>
      <w:r>
        <w:t>D</w:t>
      </w:r>
      <w:r w:rsidR="007B25E3">
        <w:t xml:space="preserve">es </w:t>
      </w:r>
      <w:r w:rsidR="00A8602C">
        <w:t>bilan RSE,</w:t>
      </w:r>
    </w:p>
    <w:p w14:paraId="604AB289" w14:textId="1CDF0BA8" w:rsidR="00552B17" w:rsidRDefault="00552B17" w:rsidP="00552B17">
      <w:pPr>
        <w:pStyle w:val="Paragraphedeliste"/>
        <w:numPr>
          <w:ilvl w:val="1"/>
          <w:numId w:val="9"/>
        </w:numPr>
      </w:pPr>
      <w:r>
        <w:t xml:space="preserve">Des diagnostics </w:t>
      </w:r>
      <w:r w:rsidR="00AB5F53">
        <w:t>de décarbonation, de flux matières, d’écoconception et de performance immobilière</w:t>
      </w:r>
      <w:r w:rsidR="00A407D0">
        <w:t>, co</w:t>
      </w:r>
      <w:r w:rsidR="00336644">
        <w:t>financés entre l’entreprise, Bpifrance et l’ADEME</w:t>
      </w:r>
      <w:r w:rsidR="008E308E">
        <w:t>,</w:t>
      </w:r>
    </w:p>
    <w:p w14:paraId="68CDED59" w14:textId="558CFD52" w:rsidR="00336644" w:rsidRDefault="00336644" w:rsidP="00552B17">
      <w:pPr>
        <w:pStyle w:val="Paragraphedeliste"/>
        <w:numPr>
          <w:ilvl w:val="1"/>
          <w:numId w:val="9"/>
        </w:numPr>
      </w:pPr>
      <w:r>
        <w:t>Des accélérateurs</w:t>
      </w:r>
      <w:r w:rsidR="0034517D">
        <w:t>,</w:t>
      </w:r>
      <w:r w:rsidR="0034517D" w:rsidRPr="0034517D">
        <w:t xml:space="preserve"> programmes intensifs et sur mesure de 12, </w:t>
      </w:r>
      <w:r w:rsidR="0034517D">
        <w:t>à</w:t>
      </w:r>
      <w:r w:rsidR="0034517D" w:rsidRPr="0034517D">
        <w:t xml:space="preserve"> 24 mois, pour des promotions d’une trentaine d’entrepreneurs</w:t>
      </w:r>
      <w:r w:rsidR="00AF3B5C">
        <w:t xml:space="preserve"> (ex : agroécologie, décarbonation, transition én</w:t>
      </w:r>
      <w:r w:rsidR="008E308E">
        <w:t>ergétique).</w:t>
      </w:r>
    </w:p>
    <w:p w14:paraId="40A34CCA" w14:textId="77777777" w:rsidR="00D346EA" w:rsidRPr="00775523" w:rsidRDefault="00D346EA" w:rsidP="00645644"/>
    <w:p w14:paraId="0B24A860" w14:textId="524AB657" w:rsidR="00C60ECA" w:rsidRDefault="00035C4A" w:rsidP="00306121">
      <w:pPr>
        <w:pStyle w:val="Titre2"/>
      </w:pPr>
      <w:bookmarkStart w:id="90" w:name="_Toc139042764"/>
      <w:r>
        <w:lastRenderedPageBreak/>
        <w:t>E</w:t>
      </w:r>
      <w:r w:rsidR="00C60ECA" w:rsidRPr="007E483F">
        <w:t xml:space="preserve">stimation quantitative de l'impact financier des principaux risques en matière </w:t>
      </w:r>
      <w:r>
        <w:t>ESG</w:t>
      </w:r>
      <w:bookmarkEnd w:id="90"/>
    </w:p>
    <w:p w14:paraId="587049F1" w14:textId="49AB9AAB" w:rsidR="00035C4A" w:rsidRPr="00035C4A" w:rsidRDefault="00893F3C" w:rsidP="00035C4A">
      <w:r>
        <w:t>L</w:t>
      </w:r>
      <w:r w:rsidR="00A27DC0">
        <w:t>’estimation quantitative de l’impact financier des principaux risque</w:t>
      </w:r>
      <w:r w:rsidR="00B27C6A">
        <w:t>s en matière d’ESG</w:t>
      </w:r>
      <w:r w:rsidR="00BE22ED">
        <w:t xml:space="preserve"> fait partie de la cartographie des risques groupe</w:t>
      </w:r>
      <w:r w:rsidR="0080660E">
        <w:t xml:space="preserve">, mais n’est pas </w:t>
      </w:r>
      <w:r w:rsidR="00E73558">
        <w:t xml:space="preserve">détaillée </w:t>
      </w:r>
      <w:r w:rsidR="006C26D5">
        <w:t>au niveau de l’investissement.</w:t>
      </w:r>
    </w:p>
    <w:p w14:paraId="185C31D6" w14:textId="1079B5D9" w:rsidR="00C60ECA" w:rsidRDefault="00C60ECA" w:rsidP="00306121">
      <w:pPr>
        <w:pStyle w:val="Titre2"/>
      </w:pPr>
      <w:bookmarkStart w:id="91" w:name="_Toc139042765"/>
      <w:r w:rsidRPr="007E483F">
        <w:t>Une indication de l'évolution des choix méthodologiques et des résultats</w:t>
      </w:r>
      <w:bookmarkEnd w:id="91"/>
    </w:p>
    <w:p w14:paraId="15BB8151" w14:textId="3168A123" w:rsidR="001F11D9" w:rsidRPr="002F50FD" w:rsidRDefault="001F11D9" w:rsidP="002F50FD">
      <w:r>
        <w:t>L’année 2022 a été une année de mise en chantier de plusieurs projets, incluant le travail de calcul de trajectoires et scenario climatiques, la modernisation de l’outil d’analyse ESG, la préparation de nouveau fonds article 8 (création et conversion), etc. qui se sont poursuivis en 2023 et pourront irriguer la stratégie d’investissement. Les changements auront donc essentiellement lieu en 2023 et seront reflétés, le cas échéant, dans le prochain rapport de Bpifrance Investissements.</w:t>
      </w:r>
    </w:p>
    <w:bookmarkEnd w:id="71"/>
    <w:bookmarkEnd w:id="72"/>
    <w:p w14:paraId="7DCF2C54" w14:textId="6595A4BB" w:rsidR="001B4395" w:rsidRDefault="001B4395">
      <w:pPr>
        <w:spacing w:after="200" w:line="276" w:lineRule="auto"/>
        <w:jc w:val="left"/>
      </w:pPr>
      <w:r>
        <w:br w:type="page"/>
      </w:r>
    </w:p>
    <w:p w14:paraId="38DD79D8" w14:textId="2B9D5BEB" w:rsidR="00981F60" w:rsidRDefault="001B4395" w:rsidP="0092672D">
      <w:pPr>
        <w:pStyle w:val="Titre1"/>
        <w:numPr>
          <w:ilvl w:val="0"/>
          <w:numId w:val="0"/>
        </w:numPr>
      </w:pPr>
      <w:bookmarkStart w:id="92" w:name="_Toc139042766"/>
      <w:r>
        <w:lastRenderedPageBreak/>
        <w:t>Annexe 1</w:t>
      </w:r>
      <w:r w:rsidR="00B816C0">
        <w:t> : Tableaux d’indicateurs relatifs aux exigences règlementaires (SFDR)</w:t>
      </w:r>
      <w:bookmarkEnd w:id="92"/>
    </w:p>
    <w:p w14:paraId="08E1FAEA" w14:textId="77777777" w:rsidR="00034B28" w:rsidRDefault="00034B28" w:rsidP="00034B28"/>
    <w:p w14:paraId="28F064CE" w14:textId="77777777" w:rsidR="00034B28" w:rsidRDefault="00034B28" w:rsidP="00034B28"/>
    <w:p w14:paraId="2E19C67E" w14:textId="55BE2814" w:rsidR="00034B28" w:rsidRDefault="00243D99" w:rsidP="00525DB8">
      <w:pPr>
        <w:pStyle w:val="Titre2"/>
        <w:numPr>
          <w:ilvl w:val="0"/>
          <w:numId w:val="0"/>
        </w:numPr>
      </w:pPr>
      <w:bookmarkStart w:id="93" w:name="_Toc139042767"/>
      <w:r w:rsidRPr="00243D99">
        <w:t>Liste des produits financiers mentionnés en vertu de l'article 8 et 9 du Règlement Disclosure (SFDR)</w:t>
      </w:r>
      <w:bookmarkEnd w:id="93"/>
    </w:p>
    <w:p w14:paraId="63AF6827" w14:textId="7A4BFF62" w:rsidR="00F22042" w:rsidRDefault="00F22042" w:rsidP="00034B28">
      <w:r>
        <w:t xml:space="preserve">A la fin décembre 2022, Bpifrance Investissement gère </w:t>
      </w:r>
      <w:r w:rsidR="00122C71">
        <w:t xml:space="preserve">un actif de </w:t>
      </w:r>
      <w:r w:rsidR="00A67218">
        <w:t>50</w:t>
      </w:r>
      <w:r w:rsidR="00674EC5">
        <w:t> </w:t>
      </w:r>
      <w:r w:rsidR="00A67218">
        <w:t>303</w:t>
      </w:r>
      <w:r w:rsidR="00674EC5">
        <w:t> </w:t>
      </w:r>
      <w:r w:rsidR="00A67218">
        <w:t>millions</w:t>
      </w:r>
      <w:r>
        <w:t xml:space="preserve"> d’euros</w:t>
      </w:r>
      <w:r w:rsidR="006D0995">
        <w:t xml:space="preserve">, </w:t>
      </w:r>
      <w:r w:rsidR="00EB766D">
        <w:t xml:space="preserve">dont trois </w:t>
      </w:r>
      <w:r w:rsidR="006D0995">
        <w:t xml:space="preserve">fonds </w:t>
      </w:r>
      <w:r w:rsidR="00075932">
        <w:t>catégorisés « </w:t>
      </w:r>
      <w:r w:rsidR="006D0995">
        <w:t>article</w:t>
      </w:r>
      <w:r w:rsidR="00075932">
        <w:t xml:space="preserve"> 8 »</w:t>
      </w:r>
      <w:r w:rsidR="00EB766D">
        <w:t xml:space="preserve">, lesquels </w:t>
      </w:r>
      <w:r w:rsidR="00674EC5">
        <w:t>représentaient un encours de 4 713 millions d’euros</w:t>
      </w:r>
      <w:r w:rsidR="00A30039">
        <w:t xml:space="preserve">, soit </w:t>
      </w:r>
      <w:r w:rsidR="00912086">
        <w:t>9,4%.</w:t>
      </w:r>
    </w:p>
    <w:p w14:paraId="5D076460" w14:textId="77777777" w:rsidR="00122C71" w:rsidRDefault="00122C71" w:rsidP="00034B28"/>
    <w:tbl>
      <w:tblPr>
        <w:tblStyle w:val="TableauGrille4-Accentuation1"/>
        <w:tblW w:w="7933" w:type="dxa"/>
        <w:tblLayout w:type="fixed"/>
        <w:tblLook w:val="04A0" w:firstRow="1" w:lastRow="0" w:firstColumn="1" w:lastColumn="0" w:noHBand="0" w:noVBand="1"/>
      </w:tblPr>
      <w:tblGrid>
        <w:gridCol w:w="3397"/>
        <w:gridCol w:w="2694"/>
        <w:gridCol w:w="1842"/>
      </w:tblGrid>
      <w:tr w:rsidR="00EB766D" w14:paraId="06290DEE" w14:textId="77777777" w:rsidTr="00455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73383F4" w14:textId="5160EC0F" w:rsidR="00EB766D" w:rsidRDefault="00EB766D" w:rsidP="00B12D9D">
            <w:r>
              <w:t>Nom du fonds</w:t>
            </w:r>
          </w:p>
        </w:tc>
        <w:tc>
          <w:tcPr>
            <w:tcW w:w="2694" w:type="dxa"/>
          </w:tcPr>
          <w:p w14:paraId="33C89A71" w14:textId="519DE078" w:rsidR="00EB766D" w:rsidRDefault="00EB766D" w:rsidP="00B12D9D">
            <w:pPr>
              <w:cnfStyle w:val="100000000000" w:firstRow="1" w:lastRow="0" w:firstColumn="0" w:lastColumn="0" w:oddVBand="0" w:evenVBand="0" w:oddHBand="0" w:evenHBand="0" w:firstRowFirstColumn="0" w:firstRowLastColumn="0" w:lastRowFirstColumn="0" w:lastRowLastColumn="0"/>
            </w:pPr>
            <w:r>
              <w:t>Stratégie d’investissement</w:t>
            </w:r>
          </w:p>
        </w:tc>
        <w:tc>
          <w:tcPr>
            <w:tcW w:w="1842" w:type="dxa"/>
          </w:tcPr>
          <w:p w14:paraId="0514B569" w14:textId="6CD3DF51" w:rsidR="00EB766D" w:rsidRDefault="00EB766D" w:rsidP="00B12D9D">
            <w:pPr>
              <w:cnfStyle w:val="100000000000" w:firstRow="1" w:lastRow="0" w:firstColumn="0" w:lastColumn="0" w:oddVBand="0" w:evenVBand="0" w:oddHBand="0" w:evenHBand="0" w:firstRowFirstColumn="0" w:firstRowLastColumn="0" w:lastRowFirstColumn="0" w:lastRowLastColumn="0"/>
            </w:pPr>
            <w:r>
              <w:t>Catégorisation SFDR</w:t>
            </w:r>
          </w:p>
        </w:tc>
      </w:tr>
      <w:tr w:rsidR="00EB766D" w14:paraId="53F7A3DF" w14:textId="77777777" w:rsidTr="0045529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7" w:type="dxa"/>
          </w:tcPr>
          <w:p w14:paraId="70081A75" w14:textId="142446DC" w:rsidR="00EB766D" w:rsidRDefault="00EB766D" w:rsidP="00B12D9D">
            <w:r>
              <w:t>Ecotech 2</w:t>
            </w:r>
          </w:p>
        </w:tc>
        <w:tc>
          <w:tcPr>
            <w:tcW w:w="2694" w:type="dxa"/>
          </w:tcPr>
          <w:p w14:paraId="511B303F" w14:textId="40552508" w:rsidR="00EB766D" w:rsidRDefault="00EB766D" w:rsidP="00B12D9D">
            <w:pPr>
              <w:cnfStyle w:val="000000100000" w:firstRow="0" w:lastRow="0" w:firstColumn="0" w:lastColumn="0" w:oddVBand="0" w:evenVBand="0" w:oddHBand="1" w:evenHBand="0" w:firstRowFirstColumn="0" w:firstRowLastColumn="0" w:lastRowFirstColumn="0" w:lastRowLastColumn="0"/>
            </w:pPr>
            <w:r>
              <w:t>Technologies propres</w:t>
            </w:r>
          </w:p>
        </w:tc>
        <w:tc>
          <w:tcPr>
            <w:tcW w:w="1842" w:type="dxa"/>
          </w:tcPr>
          <w:p w14:paraId="780BE37F" w14:textId="172B0D4E" w:rsidR="00EB766D" w:rsidRDefault="00EB766D" w:rsidP="00B12D9D">
            <w:pPr>
              <w:cnfStyle w:val="000000100000" w:firstRow="0" w:lastRow="0" w:firstColumn="0" w:lastColumn="0" w:oddVBand="0" w:evenVBand="0" w:oddHBand="1" w:evenHBand="0" w:firstRowFirstColumn="0" w:firstRowLastColumn="0" w:lastRowFirstColumn="0" w:lastRowLastColumn="0"/>
            </w:pPr>
            <w:r>
              <w:t>8</w:t>
            </w:r>
          </w:p>
        </w:tc>
      </w:tr>
      <w:tr w:rsidR="00EB766D" w14:paraId="030C7B90" w14:textId="77777777" w:rsidTr="00455297">
        <w:trPr>
          <w:trHeight w:val="283"/>
        </w:trPr>
        <w:tc>
          <w:tcPr>
            <w:cnfStyle w:val="001000000000" w:firstRow="0" w:lastRow="0" w:firstColumn="1" w:lastColumn="0" w:oddVBand="0" w:evenVBand="0" w:oddHBand="0" w:evenHBand="0" w:firstRowFirstColumn="0" w:firstRowLastColumn="0" w:lastRowFirstColumn="0" w:lastRowLastColumn="0"/>
            <w:tcW w:w="3397" w:type="dxa"/>
          </w:tcPr>
          <w:p w14:paraId="5E56824B" w14:textId="7BD3A0B6" w:rsidR="00EB766D" w:rsidRDefault="00EB766D" w:rsidP="00EB766D">
            <w:pPr>
              <w:jc w:val="left"/>
            </w:pPr>
            <w:r>
              <w:t>Sociétés de Projets Industriels 2</w:t>
            </w:r>
          </w:p>
        </w:tc>
        <w:tc>
          <w:tcPr>
            <w:tcW w:w="2694" w:type="dxa"/>
          </w:tcPr>
          <w:p w14:paraId="76794FA2" w14:textId="2B3C574D" w:rsidR="00EB766D" w:rsidRDefault="006A6D0C" w:rsidP="00455297">
            <w:pPr>
              <w:jc w:val="left"/>
              <w:cnfStyle w:val="000000000000" w:firstRow="0" w:lastRow="0" w:firstColumn="0" w:lastColumn="0" w:oddVBand="0" w:evenVBand="0" w:oddHBand="0" w:evenHBand="0" w:firstRowFirstColumn="0" w:firstRowLastColumn="0" w:lastRowFirstColumn="0" w:lastRowLastColumn="0"/>
            </w:pPr>
            <w:r>
              <w:t>Industrialisation</w:t>
            </w:r>
            <w:r w:rsidR="00455297">
              <w:t xml:space="preserve"> </w:t>
            </w:r>
            <w:r w:rsidR="00455297" w:rsidRPr="008C4CA8">
              <w:t>de technologies innovantes</w:t>
            </w:r>
          </w:p>
        </w:tc>
        <w:tc>
          <w:tcPr>
            <w:tcW w:w="1842" w:type="dxa"/>
          </w:tcPr>
          <w:p w14:paraId="3A55BC5D" w14:textId="69AA2BF2" w:rsidR="00EB766D" w:rsidRDefault="00EB766D" w:rsidP="00B12D9D">
            <w:pPr>
              <w:cnfStyle w:val="000000000000" w:firstRow="0" w:lastRow="0" w:firstColumn="0" w:lastColumn="0" w:oddVBand="0" w:evenVBand="0" w:oddHBand="0" w:evenHBand="0" w:firstRowFirstColumn="0" w:firstRowLastColumn="0" w:lastRowFirstColumn="0" w:lastRowLastColumn="0"/>
            </w:pPr>
            <w:r>
              <w:t>8</w:t>
            </w:r>
          </w:p>
        </w:tc>
      </w:tr>
      <w:tr w:rsidR="00EB766D" w14:paraId="32D75120" w14:textId="77777777" w:rsidTr="0045529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7" w:type="dxa"/>
          </w:tcPr>
          <w:p w14:paraId="10ECEF86" w14:textId="16A833ED" w:rsidR="00EB766D" w:rsidRDefault="00EB766D" w:rsidP="00B12D9D">
            <w:r>
              <w:t>Lac 1</w:t>
            </w:r>
          </w:p>
        </w:tc>
        <w:tc>
          <w:tcPr>
            <w:tcW w:w="2694" w:type="dxa"/>
          </w:tcPr>
          <w:p w14:paraId="5C1D6B15" w14:textId="3DA88B69" w:rsidR="00EB766D" w:rsidRDefault="00C67E3D" w:rsidP="00B12D9D">
            <w:pPr>
              <w:cnfStyle w:val="000000100000" w:firstRow="0" w:lastRow="0" w:firstColumn="0" w:lastColumn="0" w:oddVBand="0" w:evenVBand="0" w:oddHBand="1" w:evenHBand="0" w:firstRowFirstColumn="0" w:firstRowLastColumn="0" w:lastRowFirstColumn="0" w:lastRowLastColumn="0"/>
            </w:pPr>
            <w:r>
              <w:t>Actions françaises</w:t>
            </w:r>
          </w:p>
        </w:tc>
        <w:tc>
          <w:tcPr>
            <w:tcW w:w="1842" w:type="dxa"/>
          </w:tcPr>
          <w:p w14:paraId="5EF3E537" w14:textId="4064CF1C" w:rsidR="00EB766D" w:rsidRDefault="00EB766D" w:rsidP="00B12D9D">
            <w:pPr>
              <w:cnfStyle w:val="000000100000" w:firstRow="0" w:lastRow="0" w:firstColumn="0" w:lastColumn="0" w:oddVBand="0" w:evenVBand="0" w:oddHBand="1" w:evenHBand="0" w:firstRowFirstColumn="0" w:firstRowLastColumn="0" w:lastRowFirstColumn="0" w:lastRowLastColumn="0"/>
            </w:pPr>
            <w:r>
              <w:t>8</w:t>
            </w:r>
          </w:p>
        </w:tc>
      </w:tr>
    </w:tbl>
    <w:p w14:paraId="4C23FDE5" w14:textId="77777777" w:rsidR="00EC2ABE" w:rsidRDefault="00EC2ABE" w:rsidP="00034B28"/>
    <w:p w14:paraId="1835CD3D" w14:textId="7CFD5FD0" w:rsidR="00EC2ABE" w:rsidRDefault="00EC2ABE" w:rsidP="00034B28">
      <w:r>
        <w:t xml:space="preserve">Durant le second semestre 2022, </w:t>
      </w:r>
      <w:r w:rsidR="007E58BE">
        <w:t>Bpifrance a travaillé sur plusieurs</w:t>
      </w:r>
      <w:r>
        <w:t xml:space="preserve"> produits </w:t>
      </w:r>
      <w:r w:rsidR="00A45BE3">
        <w:t>financier</w:t>
      </w:r>
      <w:r w:rsidR="007075C7">
        <w:t>s</w:t>
      </w:r>
      <w:r w:rsidR="00A45BE3">
        <w:t xml:space="preserve"> « </w:t>
      </w:r>
      <w:r>
        <w:t>article 8</w:t>
      </w:r>
      <w:r w:rsidR="00A45BE3">
        <w:t> »</w:t>
      </w:r>
      <w:r w:rsidR="003F2EBC">
        <w:t xml:space="preserve"> </w:t>
      </w:r>
      <w:r w:rsidR="00141392">
        <w:t>et « article 9 » SFDR</w:t>
      </w:r>
      <w:r w:rsidR="00AB4D05">
        <w:t xml:space="preserve"> </w:t>
      </w:r>
      <w:r w:rsidR="003F2EBC">
        <w:t>(création ou conversion de fonds existants)</w:t>
      </w:r>
      <w:r w:rsidR="00A45BE3">
        <w:t xml:space="preserve"> </w:t>
      </w:r>
      <w:r w:rsidR="007E58BE">
        <w:t xml:space="preserve">qui </w:t>
      </w:r>
      <w:r w:rsidR="00141392">
        <w:t>devraient entrer</w:t>
      </w:r>
      <w:r w:rsidR="00B65865">
        <w:t xml:space="preserve"> en activité en 2023.</w:t>
      </w:r>
    </w:p>
    <w:p w14:paraId="2106553A" w14:textId="4AEBE630" w:rsidR="00E055F0" w:rsidRDefault="00E055F0">
      <w:pPr>
        <w:spacing w:after="200" w:line="276" w:lineRule="auto"/>
        <w:jc w:val="left"/>
      </w:pPr>
      <w:r>
        <w:br w:type="page"/>
      </w:r>
    </w:p>
    <w:p w14:paraId="03B32BB0" w14:textId="77777777" w:rsidR="00E055F0" w:rsidRDefault="00E055F0" w:rsidP="00E055F0">
      <w:pPr>
        <w:pStyle w:val="Titre2"/>
        <w:numPr>
          <w:ilvl w:val="0"/>
          <w:numId w:val="0"/>
        </w:numPr>
      </w:pPr>
      <w:bookmarkStart w:id="94" w:name="_Toc139042768"/>
      <w:r>
        <w:lastRenderedPageBreak/>
        <w:t>Indicateurs sur les principales incidences négatives (SFDR)</w:t>
      </w:r>
      <w:bookmarkEnd w:id="94"/>
    </w:p>
    <w:p w14:paraId="0B9FC29A" w14:textId="77777777" w:rsidR="00E055F0" w:rsidRDefault="00E055F0" w:rsidP="00E055F0">
      <w:pPr>
        <w:spacing w:after="200" w:line="276" w:lineRule="auto"/>
        <w:jc w:val="left"/>
      </w:pPr>
      <w:r>
        <w:t>Le périmètre de collecte des informations sur les principales incidences négatives (‘PAI’) est composé des 35 entreprises cotées du portefeuille de Bpifrance. Les données sont issues des Documents d’enregistrements universels publiés sur l’exercice 2022 par les entreprises.</w:t>
      </w:r>
    </w:p>
    <w:tbl>
      <w:tblPr>
        <w:tblStyle w:val="TableauGrille4-Accentuation1"/>
        <w:tblW w:w="10343" w:type="dxa"/>
        <w:tblLook w:val="04A0" w:firstRow="1" w:lastRow="0" w:firstColumn="1" w:lastColumn="0" w:noHBand="0" w:noVBand="1"/>
      </w:tblPr>
      <w:tblGrid>
        <w:gridCol w:w="4815"/>
        <w:gridCol w:w="1276"/>
        <w:gridCol w:w="1221"/>
        <w:gridCol w:w="3031"/>
      </w:tblGrid>
      <w:tr w:rsidR="00E055F0" w:rsidRPr="002E130A" w14:paraId="2B8E6CEE" w14:textId="77777777" w:rsidTr="006E04AA">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815" w:type="dxa"/>
            <w:hideMark/>
          </w:tcPr>
          <w:p w14:paraId="0AF94240" w14:textId="77777777" w:rsidR="00E055F0" w:rsidRPr="002E130A" w:rsidRDefault="00E055F0" w:rsidP="006E04AA">
            <w:pPr>
              <w:spacing w:line="240" w:lineRule="auto"/>
              <w:jc w:val="left"/>
              <w:rPr>
                <w:rFonts w:ascii="Calibri" w:eastAsia="Times New Roman" w:hAnsi="Calibri" w:cs="Calibri"/>
                <w:color w:val="000000"/>
                <w:sz w:val="22"/>
                <w:szCs w:val="22"/>
                <w:lang w:eastAsia="fr-FR"/>
              </w:rPr>
            </w:pPr>
            <w:r w:rsidRPr="002E130A">
              <w:rPr>
                <w:rFonts w:ascii="Calibri" w:eastAsia="Times New Roman" w:hAnsi="Calibri" w:cs="Calibri"/>
                <w:color w:val="000000"/>
                <w:sz w:val="22"/>
                <w:szCs w:val="22"/>
                <w:lang w:eastAsia="fr-FR"/>
              </w:rPr>
              <w:t>Incidence négative sur la durabilité (SFDR)</w:t>
            </w:r>
          </w:p>
        </w:tc>
        <w:tc>
          <w:tcPr>
            <w:tcW w:w="1276" w:type="dxa"/>
            <w:noWrap/>
            <w:hideMark/>
          </w:tcPr>
          <w:p w14:paraId="176F3C7D" w14:textId="77777777" w:rsidR="00E055F0" w:rsidRPr="002E130A" w:rsidRDefault="00E055F0" w:rsidP="006E04A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fr-FR"/>
              </w:rPr>
            </w:pPr>
            <w:r w:rsidRPr="002E130A">
              <w:rPr>
                <w:rFonts w:ascii="Calibri" w:eastAsia="Times New Roman" w:hAnsi="Calibri" w:cs="Calibri"/>
                <w:color w:val="000000"/>
                <w:sz w:val="22"/>
                <w:szCs w:val="22"/>
                <w:lang w:eastAsia="fr-FR"/>
              </w:rPr>
              <w:t>2022</w:t>
            </w:r>
          </w:p>
        </w:tc>
        <w:tc>
          <w:tcPr>
            <w:tcW w:w="1221" w:type="dxa"/>
            <w:hideMark/>
          </w:tcPr>
          <w:p w14:paraId="21703378" w14:textId="77777777" w:rsidR="00E055F0" w:rsidRPr="002E130A" w:rsidRDefault="00E055F0" w:rsidP="006E04A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fr-FR"/>
              </w:rPr>
            </w:pPr>
            <w:r w:rsidRPr="002E130A">
              <w:rPr>
                <w:rFonts w:ascii="Calibri" w:eastAsia="Times New Roman" w:hAnsi="Calibri" w:cs="Calibri"/>
                <w:color w:val="000000"/>
                <w:sz w:val="22"/>
                <w:szCs w:val="22"/>
                <w:lang w:eastAsia="fr-FR"/>
              </w:rPr>
              <w:t>Taux de couverture</w:t>
            </w:r>
          </w:p>
        </w:tc>
        <w:tc>
          <w:tcPr>
            <w:tcW w:w="3031" w:type="dxa"/>
            <w:hideMark/>
          </w:tcPr>
          <w:p w14:paraId="687354F0" w14:textId="77777777" w:rsidR="00E055F0" w:rsidRPr="002E130A" w:rsidRDefault="00E055F0" w:rsidP="006E04AA">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fr-FR"/>
              </w:rPr>
            </w:pPr>
            <w:r w:rsidRPr="002E130A">
              <w:rPr>
                <w:rFonts w:ascii="Calibri" w:eastAsia="Times New Roman" w:hAnsi="Calibri" w:cs="Calibri"/>
                <w:color w:val="000000"/>
                <w:sz w:val="22"/>
                <w:szCs w:val="22"/>
                <w:lang w:eastAsia="fr-FR"/>
              </w:rPr>
              <w:t>Précisions sur l'indicateur</w:t>
            </w:r>
          </w:p>
        </w:tc>
      </w:tr>
      <w:tr w:rsidR="00B57541" w:rsidRPr="002E130A" w14:paraId="7FC12FA3" w14:textId="77777777" w:rsidTr="006E04A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815" w:type="dxa"/>
            <w:hideMark/>
          </w:tcPr>
          <w:p w14:paraId="11F5B5F7"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1. Émissions de GES totales </w:t>
            </w:r>
            <w:r w:rsidRPr="002E130A">
              <w:rPr>
                <w:rFonts w:ascii="Calibri" w:eastAsia="Times New Roman" w:hAnsi="Calibri" w:cs="Calibri"/>
                <w:b w:val="0"/>
                <w:bCs w:val="0"/>
                <w:color w:val="000000"/>
                <w:lang w:eastAsia="fr-FR"/>
              </w:rPr>
              <w:t>(tonnes de CO</w:t>
            </w:r>
            <w:r w:rsidRPr="00B57541">
              <w:rPr>
                <w:rFonts w:ascii="Calibri" w:eastAsia="Times New Roman" w:hAnsi="Calibri" w:cs="Calibri"/>
                <w:b w:val="0"/>
                <w:bCs w:val="0"/>
                <w:color w:val="000000"/>
                <w:vertAlign w:val="subscript"/>
                <w:lang w:eastAsia="fr-FR"/>
              </w:rPr>
              <w:t>2</w:t>
            </w:r>
            <w:r w:rsidRPr="002E130A">
              <w:rPr>
                <w:rFonts w:ascii="Calibri" w:eastAsia="Times New Roman" w:hAnsi="Calibri" w:cs="Calibri"/>
                <w:b w:val="0"/>
                <w:bCs w:val="0"/>
                <w:color w:val="000000"/>
                <w:lang w:eastAsia="fr-FR"/>
              </w:rPr>
              <w:t>)</w:t>
            </w:r>
          </w:p>
        </w:tc>
        <w:tc>
          <w:tcPr>
            <w:tcW w:w="1276" w:type="dxa"/>
            <w:noWrap/>
            <w:hideMark/>
          </w:tcPr>
          <w:p w14:paraId="1A526D7E" w14:textId="36224551" w:rsidR="00B57541" w:rsidRPr="00B57541"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14 569 951</w:t>
            </w:r>
          </w:p>
        </w:tc>
        <w:tc>
          <w:tcPr>
            <w:tcW w:w="1221" w:type="dxa"/>
            <w:noWrap/>
            <w:hideMark/>
          </w:tcPr>
          <w:p w14:paraId="673F4D6B" w14:textId="77777777" w:rsidR="00B57541" w:rsidRPr="002E130A"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97,9%</w:t>
            </w:r>
          </w:p>
        </w:tc>
        <w:tc>
          <w:tcPr>
            <w:tcW w:w="3031" w:type="dxa"/>
            <w:hideMark/>
          </w:tcPr>
          <w:p w14:paraId="0289E920" w14:textId="77777777" w:rsidR="00B57541" w:rsidRPr="002E130A" w:rsidRDefault="00B57541" w:rsidP="00B57541">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 </w:t>
            </w:r>
          </w:p>
        </w:tc>
      </w:tr>
      <w:tr w:rsidR="00B57541" w:rsidRPr="002E130A" w14:paraId="22AE371F" w14:textId="77777777" w:rsidTr="006E04AA">
        <w:trPr>
          <w:trHeight w:val="290"/>
        </w:trPr>
        <w:tc>
          <w:tcPr>
            <w:cnfStyle w:val="001000000000" w:firstRow="0" w:lastRow="0" w:firstColumn="1" w:lastColumn="0" w:oddVBand="0" w:evenVBand="0" w:oddHBand="0" w:evenHBand="0" w:firstRowFirstColumn="0" w:firstRowLastColumn="0" w:lastRowFirstColumn="0" w:lastRowLastColumn="0"/>
            <w:tcW w:w="4815" w:type="dxa"/>
            <w:hideMark/>
          </w:tcPr>
          <w:p w14:paraId="314D7734"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2. Empreinte carbone du portefeuille </w:t>
            </w:r>
            <w:r w:rsidRPr="004960C3">
              <w:rPr>
                <w:rFonts w:ascii="Calibri" w:eastAsia="Times New Roman" w:hAnsi="Calibri" w:cs="Calibri"/>
                <w:color w:val="000000"/>
                <w:lang w:eastAsia="fr-FR"/>
              </w:rPr>
              <w:br/>
            </w:r>
            <w:r w:rsidRPr="002E130A">
              <w:rPr>
                <w:rFonts w:ascii="Calibri" w:eastAsia="Times New Roman" w:hAnsi="Calibri" w:cs="Calibri"/>
                <w:b w:val="0"/>
                <w:bCs w:val="0"/>
                <w:color w:val="000000"/>
                <w:lang w:eastAsia="fr-FR"/>
              </w:rPr>
              <w:t>(teqCO</w:t>
            </w:r>
            <w:r w:rsidRPr="00B57541">
              <w:rPr>
                <w:rFonts w:ascii="Calibri" w:eastAsia="Times New Roman" w:hAnsi="Calibri" w:cs="Calibri"/>
                <w:b w:val="0"/>
                <w:bCs w:val="0"/>
                <w:color w:val="000000"/>
                <w:vertAlign w:val="subscript"/>
                <w:lang w:eastAsia="fr-FR"/>
              </w:rPr>
              <w:t>2</w:t>
            </w:r>
            <w:r w:rsidRPr="004960C3">
              <w:rPr>
                <w:rFonts w:ascii="Calibri" w:eastAsia="Times New Roman" w:hAnsi="Calibri" w:cs="Calibri"/>
                <w:b w:val="0"/>
                <w:bCs w:val="0"/>
                <w:color w:val="000000"/>
                <w:lang w:eastAsia="fr-FR"/>
              </w:rPr>
              <w:t>/M€ investi</w:t>
            </w:r>
            <w:r w:rsidRPr="002E130A">
              <w:rPr>
                <w:rFonts w:ascii="Calibri" w:eastAsia="Times New Roman" w:hAnsi="Calibri" w:cs="Calibri"/>
                <w:b w:val="0"/>
                <w:bCs w:val="0"/>
                <w:color w:val="000000"/>
                <w:lang w:eastAsia="fr-FR"/>
              </w:rPr>
              <w:t>)</w:t>
            </w:r>
          </w:p>
        </w:tc>
        <w:tc>
          <w:tcPr>
            <w:tcW w:w="1276" w:type="dxa"/>
            <w:noWrap/>
            <w:hideMark/>
          </w:tcPr>
          <w:p w14:paraId="03E2E188" w14:textId="705BA657" w:rsidR="00B57541" w:rsidRPr="00B57541"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1 093</w:t>
            </w:r>
          </w:p>
        </w:tc>
        <w:tc>
          <w:tcPr>
            <w:tcW w:w="1221" w:type="dxa"/>
            <w:noWrap/>
            <w:hideMark/>
          </w:tcPr>
          <w:p w14:paraId="31F2D781" w14:textId="77777777" w:rsidR="00B57541" w:rsidRPr="002E130A"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97,9%</w:t>
            </w:r>
          </w:p>
        </w:tc>
        <w:tc>
          <w:tcPr>
            <w:tcW w:w="3031" w:type="dxa"/>
            <w:hideMark/>
          </w:tcPr>
          <w:p w14:paraId="4C423313" w14:textId="77777777" w:rsidR="00B57541" w:rsidRPr="002E130A" w:rsidRDefault="00B57541" w:rsidP="00B57541">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 </w:t>
            </w:r>
          </w:p>
        </w:tc>
      </w:tr>
      <w:tr w:rsidR="00B57541" w:rsidRPr="002E130A" w14:paraId="0237CC2F" w14:textId="77777777" w:rsidTr="006E04A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815" w:type="dxa"/>
            <w:hideMark/>
          </w:tcPr>
          <w:p w14:paraId="1085643A"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3. Intensité carbone des entreprises en portefeuille </w:t>
            </w:r>
            <w:r w:rsidRPr="002E130A">
              <w:rPr>
                <w:rFonts w:ascii="Calibri" w:eastAsia="Times New Roman" w:hAnsi="Calibri" w:cs="Calibri"/>
                <w:b w:val="0"/>
                <w:bCs w:val="0"/>
                <w:color w:val="000000"/>
                <w:lang w:eastAsia="fr-FR"/>
              </w:rPr>
              <w:t>(tCO</w:t>
            </w:r>
            <w:r w:rsidRPr="00B57541">
              <w:rPr>
                <w:rFonts w:ascii="Calibri" w:eastAsia="Times New Roman" w:hAnsi="Calibri" w:cs="Calibri"/>
                <w:b w:val="0"/>
                <w:bCs w:val="0"/>
                <w:color w:val="000000"/>
                <w:vertAlign w:val="subscript"/>
                <w:lang w:eastAsia="fr-FR"/>
              </w:rPr>
              <w:t>2</w:t>
            </w:r>
            <w:r w:rsidRPr="002E130A">
              <w:rPr>
                <w:rFonts w:ascii="Calibri" w:eastAsia="Times New Roman" w:hAnsi="Calibri" w:cs="Calibri"/>
                <w:b w:val="0"/>
                <w:bCs w:val="0"/>
                <w:color w:val="000000"/>
                <w:lang w:eastAsia="fr-FR"/>
              </w:rPr>
              <w:t>/M€ de CA)</w:t>
            </w:r>
          </w:p>
        </w:tc>
        <w:tc>
          <w:tcPr>
            <w:tcW w:w="1276" w:type="dxa"/>
            <w:noWrap/>
            <w:hideMark/>
          </w:tcPr>
          <w:p w14:paraId="6862AEE1" w14:textId="0A1ECD1C" w:rsidR="00B57541" w:rsidRPr="00B57541"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2 116</w:t>
            </w:r>
          </w:p>
        </w:tc>
        <w:tc>
          <w:tcPr>
            <w:tcW w:w="1221" w:type="dxa"/>
            <w:noWrap/>
            <w:hideMark/>
          </w:tcPr>
          <w:p w14:paraId="2CDBD537" w14:textId="77777777" w:rsidR="00B57541" w:rsidRPr="002E130A"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97,9%</w:t>
            </w:r>
          </w:p>
        </w:tc>
        <w:tc>
          <w:tcPr>
            <w:tcW w:w="3031" w:type="dxa"/>
            <w:hideMark/>
          </w:tcPr>
          <w:p w14:paraId="088F72E7" w14:textId="77777777" w:rsidR="00B57541" w:rsidRPr="002E130A" w:rsidRDefault="00B57541" w:rsidP="00B57541">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 </w:t>
            </w:r>
          </w:p>
        </w:tc>
      </w:tr>
      <w:tr w:rsidR="00B57541" w:rsidRPr="002E130A" w14:paraId="742704ED" w14:textId="77777777" w:rsidTr="006E04AA">
        <w:trPr>
          <w:trHeight w:val="290"/>
        </w:trPr>
        <w:tc>
          <w:tcPr>
            <w:cnfStyle w:val="001000000000" w:firstRow="0" w:lastRow="0" w:firstColumn="1" w:lastColumn="0" w:oddVBand="0" w:evenVBand="0" w:oddHBand="0" w:evenHBand="0" w:firstRowFirstColumn="0" w:firstRowLastColumn="0" w:lastRowFirstColumn="0" w:lastRowLastColumn="0"/>
            <w:tcW w:w="4815" w:type="dxa"/>
            <w:hideMark/>
          </w:tcPr>
          <w:p w14:paraId="31A0C665"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4. Degré d'exposition aux entreprises du secteur des énergies fossiles </w:t>
            </w:r>
            <w:r w:rsidRPr="002E130A">
              <w:rPr>
                <w:rFonts w:ascii="Calibri" w:eastAsia="Times New Roman" w:hAnsi="Calibri" w:cs="Calibri"/>
                <w:b w:val="0"/>
                <w:bCs w:val="0"/>
                <w:color w:val="000000"/>
                <w:lang w:eastAsia="fr-FR"/>
              </w:rPr>
              <w:t>(en %)</w:t>
            </w:r>
          </w:p>
        </w:tc>
        <w:tc>
          <w:tcPr>
            <w:tcW w:w="1276" w:type="dxa"/>
            <w:noWrap/>
            <w:hideMark/>
          </w:tcPr>
          <w:p w14:paraId="7FE7E7AF" w14:textId="133F49F5" w:rsidR="00B57541" w:rsidRPr="00B57541"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1,35%</w:t>
            </w:r>
          </w:p>
        </w:tc>
        <w:tc>
          <w:tcPr>
            <w:tcW w:w="1221" w:type="dxa"/>
            <w:noWrap/>
            <w:hideMark/>
          </w:tcPr>
          <w:p w14:paraId="7EB010FE" w14:textId="77777777" w:rsidR="00B57541" w:rsidRPr="002E130A"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99,9%</w:t>
            </w:r>
          </w:p>
        </w:tc>
        <w:tc>
          <w:tcPr>
            <w:tcW w:w="3031" w:type="dxa"/>
            <w:hideMark/>
          </w:tcPr>
          <w:p w14:paraId="4388DA2F" w14:textId="77777777" w:rsidR="00B57541" w:rsidRPr="002E130A" w:rsidRDefault="00B57541" w:rsidP="00B57541">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 </w:t>
            </w:r>
          </w:p>
        </w:tc>
      </w:tr>
      <w:tr w:rsidR="00B57541" w:rsidRPr="002E130A" w14:paraId="3E25EA7F" w14:textId="77777777" w:rsidTr="006E04A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815" w:type="dxa"/>
            <w:hideMark/>
          </w:tcPr>
          <w:p w14:paraId="17F4FFB8"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5. Part d'énergie non renouvelable dans la consommation et production d'énergie des entreprises en </w:t>
            </w:r>
            <w:r w:rsidRPr="004960C3">
              <w:rPr>
                <w:rFonts w:ascii="Calibri" w:eastAsia="Times New Roman" w:hAnsi="Calibri" w:cs="Calibri"/>
                <w:color w:val="000000"/>
                <w:lang w:eastAsia="fr-FR"/>
              </w:rPr>
              <w:t>portefeuill</w:t>
            </w:r>
            <w:r w:rsidRPr="004960C3">
              <w:rPr>
                <w:rFonts w:ascii="Calibri" w:eastAsia="Times New Roman" w:hAnsi="Calibri" w:cs="Calibri"/>
                <w:b w:val="0"/>
                <w:bCs w:val="0"/>
                <w:color w:val="000000"/>
                <w:lang w:eastAsia="fr-FR"/>
              </w:rPr>
              <w:t>e</w:t>
            </w:r>
            <w:r w:rsidRPr="002E130A">
              <w:rPr>
                <w:rFonts w:ascii="Calibri" w:eastAsia="Times New Roman" w:hAnsi="Calibri" w:cs="Calibri"/>
                <w:color w:val="000000"/>
                <w:lang w:eastAsia="fr-FR"/>
              </w:rPr>
              <w:t xml:space="preserve"> </w:t>
            </w:r>
            <w:r w:rsidRPr="002E130A">
              <w:rPr>
                <w:rFonts w:ascii="Calibri" w:eastAsia="Times New Roman" w:hAnsi="Calibri" w:cs="Calibri"/>
                <w:b w:val="0"/>
                <w:bCs w:val="0"/>
                <w:color w:val="000000"/>
                <w:lang w:eastAsia="fr-FR"/>
              </w:rPr>
              <w:t>(en %)</w:t>
            </w:r>
          </w:p>
        </w:tc>
        <w:tc>
          <w:tcPr>
            <w:tcW w:w="1276" w:type="dxa"/>
            <w:noWrap/>
            <w:hideMark/>
          </w:tcPr>
          <w:p w14:paraId="2D0306FE" w14:textId="1DEE38A9" w:rsidR="00B57541" w:rsidRPr="00B57541"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47%</w:t>
            </w:r>
          </w:p>
        </w:tc>
        <w:tc>
          <w:tcPr>
            <w:tcW w:w="1221" w:type="dxa"/>
            <w:noWrap/>
            <w:hideMark/>
          </w:tcPr>
          <w:p w14:paraId="68300D3F" w14:textId="77777777" w:rsidR="00B57541" w:rsidRPr="002E130A"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88,9%</w:t>
            </w:r>
          </w:p>
        </w:tc>
        <w:tc>
          <w:tcPr>
            <w:tcW w:w="3031" w:type="dxa"/>
            <w:hideMark/>
          </w:tcPr>
          <w:p w14:paraId="167914F6" w14:textId="77777777" w:rsidR="00B57541" w:rsidRPr="002E130A" w:rsidRDefault="00B57541" w:rsidP="00B57541">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 </w:t>
            </w:r>
          </w:p>
        </w:tc>
      </w:tr>
      <w:tr w:rsidR="00B57541" w:rsidRPr="002E130A" w14:paraId="6CF228EF" w14:textId="77777777" w:rsidTr="006E04AA">
        <w:trPr>
          <w:trHeight w:val="580"/>
        </w:trPr>
        <w:tc>
          <w:tcPr>
            <w:cnfStyle w:val="001000000000" w:firstRow="0" w:lastRow="0" w:firstColumn="1" w:lastColumn="0" w:oddVBand="0" w:evenVBand="0" w:oddHBand="0" w:evenHBand="0" w:firstRowFirstColumn="0" w:firstRowLastColumn="0" w:lastRowFirstColumn="0" w:lastRowLastColumn="0"/>
            <w:tcW w:w="4815" w:type="dxa"/>
            <w:hideMark/>
          </w:tcPr>
          <w:p w14:paraId="4FA1EEC4"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6. Intensité de consommation d'énergie dans les secteurs à fort impact </w:t>
            </w:r>
            <w:r w:rsidRPr="002E130A">
              <w:rPr>
                <w:rFonts w:ascii="Calibri" w:eastAsia="Times New Roman" w:hAnsi="Calibri" w:cs="Calibri"/>
                <w:b w:val="0"/>
                <w:bCs w:val="0"/>
                <w:color w:val="000000"/>
                <w:lang w:eastAsia="fr-FR"/>
              </w:rPr>
              <w:t>(en GWh par M€ de CA des entreprises en portefeuille)</w:t>
            </w:r>
          </w:p>
        </w:tc>
        <w:tc>
          <w:tcPr>
            <w:tcW w:w="1276" w:type="dxa"/>
            <w:noWrap/>
            <w:hideMark/>
          </w:tcPr>
          <w:p w14:paraId="1251ACDF" w14:textId="4689088F" w:rsidR="00B57541" w:rsidRPr="00B57541"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1,14</w:t>
            </w:r>
          </w:p>
        </w:tc>
        <w:tc>
          <w:tcPr>
            <w:tcW w:w="1221" w:type="dxa"/>
            <w:noWrap/>
            <w:hideMark/>
          </w:tcPr>
          <w:p w14:paraId="6261AE6B" w14:textId="77777777" w:rsidR="00B57541" w:rsidRPr="002E130A"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79,0%</w:t>
            </w:r>
          </w:p>
        </w:tc>
        <w:tc>
          <w:tcPr>
            <w:tcW w:w="3031" w:type="dxa"/>
            <w:hideMark/>
          </w:tcPr>
          <w:p w14:paraId="586D1CAE" w14:textId="77777777" w:rsidR="00B57541" w:rsidRPr="002E130A" w:rsidRDefault="00B57541" w:rsidP="00B57541">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 </w:t>
            </w:r>
          </w:p>
        </w:tc>
      </w:tr>
      <w:tr w:rsidR="00B57541" w:rsidRPr="002E130A" w14:paraId="5300BA9C" w14:textId="77777777" w:rsidTr="006E04AA">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815" w:type="dxa"/>
            <w:hideMark/>
          </w:tcPr>
          <w:p w14:paraId="21193DFB"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7. Activités affectant négativement des zones sensibles pour la biodiversité </w:t>
            </w:r>
            <w:r w:rsidRPr="002E130A">
              <w:rPr>
                <w:rFonts w:ascii="Calibri" w:eastAsia="Times New Roman" w:hAnsi="Calibri" w:cs="Calibri"/>
                <w:b w:val="0"/>
                <w:bCs w:val="0"/>
                <w:color w:val="000000"/>
                <w:lang w:eastAsia="fr-FR"/>
              </w:rPr>
              <w:t>(part en % des investissements dans des entreprises ayant un impact négatif sur la biodiversité via leurs implantations ou leurs activités)</w:t>
            </w:r>
          </w:p>
        </w:tc>
        <w:tc>
          <w:tcPr>
            <w:tcW w:w="1276" w:type="dxa"/>
            <w:noWrap/>
            <w:hideMark/>
          </w:tcPr>
          <w:p w14:paraId="606B820D" w14:textId="135196EB" w:rsidR="00B57541" w:rsidRPr="00B57541"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N/D</w:t>
            </w:r>
          </w:p>
        </w:tc>
        <w:tc>
          <w:tcPr>
            <w:tcW w:w="1221" w:type="dxa"/>
            <w:noWrap/>
            <w:hideMark/>
          </w:tcPr>
          <w:p w14:paraId="17690B96" w14:textId="77777777" w:rsidR="00B57541" w:rsidRPr="002E130A"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w:t>
            </w:r>
          </w:p>
        </w:tc>
        <w:tc>
          <w:tcPr>
            <w:tcW w:w="3031" w:type="dxa"/>
            <w:hideMark/>
          </w:tcPr>
          <w:p w14:paraId="33EE2B52" w14:textId="77777777" w:rsidR="00B57541" w:rsidRPr="002E130A" w:rsidRDefault="00B57541" w:rsidP="00B57541">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Information non disponible ou de manière hétérogène</w:t>
            </w:r>
          </w:p>
        </w:tc>
      </w:tr>
      <w:tr w:rsidR="00B57541" w:rsidRPr="002E130A" w14:paraId="2BAE6911" w14:textId="77777777" w:rsidTr="006E04AA">
        <w:trPr>
          <w:trHeight w:val="580"/>
        </w:trPr>
        <w:tc>
          <w:tcPr>
            <w:cnfStyle w:val="001000000000" w:firstRow="0" w:lastRow="0" w:firstColumn="1" w:lastColumn="0" w:oddVBand="0" w:evenVBand="0" w:oddHBand="0" w:evenHBand="0" w:firstRowFirstColumn="0" w:firstRowLastColumn="0" w:lastRowFirstColumn="0" w:lastRowLastColumn="0"/>
            <w:tcW w:w="4815" w:type="dxa"/>
            <w:hideMark/>
          </w:tcPr>
          <w:p w14:paraId="5E03D9FF"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8. Émissions dans l'eau </w:t>
            </w:r>
            <w:r w:rsidRPr="002E130A">
              <w:rPr>
                <w:rFonts w:ascii="Calibri" w:eastAsia="Times New Roman" w:hAnsi="Calibri" w:cs="Calibri"/>
                <w:b w:val="0"/>
                <w:bCs w:val="0"/>
                <w:color w:val="000000"/>
                <w:lang w:eastAsia="fr-FR"/>
              </w:rPr>
              <w:t>(tonnes de rejets dans l'eau par les entreprises en portefeuille, en M€ investis)</w:t>
            </w:r>
          </w:p>
        </w:tc>
        <w:tc>
          <w:tcPr>
            <w:tcW w:w="1276" w:type="dxa"/>
            <w:noWrap/>
            <w:hideMark/>
          </w:tcPr>
          <w:p w14:paraId="54CEF7FB" w14:textId="69A2588D" w:rsidR="00B57541" w:rsidRPr="00B57541"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N/A</w:t>
            </w:r>
          </w:p>
        </w:tc>
        <w:tc>
          <w:tcPr>
            <w:tcW w:w="1221" w:type="dxa"/>
            <w:noWrap/>
            <w:hideMark/>
          </w:tcPr>
          <w:p w14:paraId="230C4B0D" w14:textId="77777777" w:rsidR="00B57541" w:rsidRPr="002E130A"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w:t>
            </w:r>
          </w:p>
        </w:tc>
        <w:tc>
          <w:tcPr>
            <w:tcW w:w="3031" w:type="dxa"/>
            <w:hideMark/>
          </w:tcPr>
          <w:p w14:paraId="29A7F6A9" w14:textId="77777777" w:rsidR="00B57541" w:rsidRPr="002E130A" w:rsidRDefault="00B57541" w:rsidP="00B57541">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Information non disponible ou de manière hétérogène</w:t>
            </w:r>
          </w:p>
        </w:tc>
      </w:tr>
      <w:tr w:rsidR="00B57541" w:rsidRPr="002E130A" w14:paraId="64D3BE36" w14:textId="77777777" w:rsidTr="006E04AA">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815" w:type="dxa"/>
            <w:hideMark/>
          </w:tcPr>
          <w:p w14:paraId="5D018971"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9. Ratio de déchets dangereux </w:t>
            </w:r>
            <w:r w:rsidRPr="002E130A">
              <w:rPr>
                <w:rFonts w:ascii="Calibri" w:eastAsia="Times New Roman" w:hAnsi="Calibri" w:cs="Calibri"/>
                <w:b w:val="0"/>
                <w:bCs w:val="0"/>
                <w:color w:val="000000"/>
                <w:lang w:eastAsia="fr-FR"/>
              </w:rPr>
              <w:t>(tonnes produites par les entreprises en portefeuille, en M€ investi)</w:t>
            </w:r>
          </w:p>
        </w:tc>
        <w:tc>
          <w:tcPr>
            <w:tcW w:w="1276" w:type="dxa"/>
            <w:noWrap/>
            <w:hideMark/>
          </w:tcPr>
          <w:p w14:paraId="1F028CD8" w14:textId="7B1D392A" w:rsidR="00B57541" w:rsidRPr="00B57541"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21</w:t>
            </w:r>
          </w:p>
        </w:tc>
        <w:tc>
          <w:tcPr>
            <w:tcW w:w="1221" w:type="dxa"/>
            <w:noWrap/>
            <w:hideMark/>
          </w:tcPr>
          <w:p w14:paraId="3FE1F750" w14:textId="77777777" w:rsidR="00B57541" w:rsidRPr="002E130A"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60,3%</w:t>
            </w:r>
          </w:p>
        </w:tc>
        <w:tc>
          <w:tcPr>
            <w:tcW w:w="3031" w:type="dxa"/>
            <w:hideMark/>
          </w:tcPr>
          <w:p w14:paraId="5AD97E6B" w14:textId="77777777" w:rsidR="00B57541" w:rsidRPr="002E130A" w:rsidRDefault="00B57541" w:rsidP="00B57541">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p>
        </w:tc>
      </w:tr>
      <w:tr w:rsidR="00B57541" w:rsidRPr="002E130A" w14:paraId="318DCFCC" w14:textId="77777777" w:rsidTr="006E04AA">
        <w:trPr>
          <w:trHeight w:val="870"/>
        </w:trPr>
        <w:tc>
          <w:tcPr>
            <w:cnfStyle w:val="001000000000" w:firstRow="0" w:lastRow="0" w:firstColumn="1" w:lastColumn="0" w:oddVBand="0" w:evenVBand="0" w:oddHBand="0" w:evenHBand="0" w:firstRowFirstColumn="0" w:firstRowLastColumn="0" w:lastRowFirstColumn="0" w:lastRowLastColumn="0"/>
            <w:tcW w:w="4815" w:type="dxa"/>
            <w:hideMark/>
          </w:tcPr>
          <w:p w14:paraId="2A351AAD"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10. Violations des principes du Pacte mondial des Nations Unies et des Principles directeurs de l'OCDE à l'intention des entreprises multinationales </w:t>
            </w:r>
            <w:r w:rsidRPr="002E130A">
              <w:rPr>
                <w:rFonts w:ascii="Calibri" w:eastAsia="Times New Roman" w:hAnsi="Calibri" w:cs="Calibri"/>
                <w:b w:val="0"/>
                <w:bCs w:val="0"/>
                <w:color w:val="000000"/>
                <w:lang w:eastAsia="fr-FR"/>
              </w:rPr>
              <w:t>(en % de portefeuille)</w:t>
            </w:r>
          </w:p>
        </w:tc>
        <w:tc>
          <w:tcPr>
            <w:tcW w:w="1276" w:type="dxa"/>
            <w:noWrap/>
            <w:hideMark/>
          </w:tcPr>
          <w:p w14:paraId="524D1864" w14:textId="0EE567AC" w:rsidR="00B57541" w:rsidRPr="00B57541"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23,3%</w:t>
            </w:r>
          </w:p>
        </w:tc>
        <w:tc>
          <w:tcPr>
            <w:tcW w:w="1221" w:type="dxa"/>
            <w:noWrap/>
            <w:hideMark/>
          </w:tcPr>
          <w:p w14:paraId="72ADA159" w14:textId="77777777" w:rsidR="00B57541" w:rsidRPr="002E130A"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66,5%</w:t>
            </w:r>
          </w:p>
        </w:tc>
        <w:tc>
          <w:tcPr>
            <w:tcW w:w="3031" w:type="dxa"/>
            <w:hideMark/>
          </w:tcPr>
          <w:p w14:paraId="0A13B830" w14:textId="77777777" w:rsidR="00B57541" w:rsidRPr="002E130A" w:rsidRDefault="00B57541" w:rsidP="00B57541">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Pourcentage d'émetteurs en portefeuille présentant des controverses très élevées en matière ESG (source : Moody's)</w:t>
            </w:r>
          </w:p>
        </w:tc>
      </w:tr>
      <w:tr w:rsidR="00B57541" w:rsidRPr="002E130A" w14:paraId="6A058E22" w14:textId="77777777" w:rsidTr="006E04AA">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815" w:type="dxa"/>
            <w:hideMark/>
          </w:tcPr>
          <w:p w14:paraId="28698E17"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11. Absence de processus et de mécanismes de conformité pour surveiller le respect des principes susmentionnées </w:t>
            </w:r>
            <w:r w:rsidRPr="002E130A">
              <w:rPr>
                <w:rFonts w:ascii="Calibri" w:eastAsia="Times New Roman" w:hAnsi="Calibri" w:cs="Calibri"/>
                <w:b w:val="0"/>
                <w:bCs w:val="0"/>
                <w:color w:val="000000"/>
                <w:lang w:eastAsia="fr-FR"/>
              </w:rPr>
              <w:t>(en % de portefeuille)</w:t>
            </w:r>
          </w:p>
        </w:tc>
        <w:tc>
          <w:tcPr>
            <w:tcW w:w="1276" w:type="dxa"/>
            <w:noWrap/>
            <w:hideMark/>
          </w:tcPr>
          <w:p w14:paraId="747CDF0B" w14:textId="19CE3A90" w:rsidR="00B57541" w:rsidRPr="00B57541"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16,9%</w:t>
            </w:r>
          </w:p>
        </w:tc>
        <w:tc>
          <w:tcPr>
            <w:tcW w:w="1221" w:type="dxa"/>
            <w:noWrap/>
            <w:hideMark/>
          </w:tcPr>
          <w:p w14:paraId="7585AF44" w14:textId="77777777" w:rsidR="00B57541" w:rsidRPr="002E130A"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99,9%</w:t>
            </w:r>
          </w:p>
        </w:tc>
        <w:tc>
          <w:tcPr>
            <w:tcW w:w="3031" w:type="dxa"/>
            <w:hideMark/>
          </w:tcPr>
          <w:p w14:paraId="24A1B0BA" w14:textId="77777777" w:rsidR="00B57541" w:rsidRPr="002E130A" w:rsidRDefault="00B57541" w:rsidP="00B57541">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942AEC">
              <w:rPr>
                <w:rFonts w:ascii="Calibri" w:eastAsia="Times New Roman" w:hAnsi="Calibri" w:cs="Calibri"/>
                <w:color w:val="000000"/>
                <w:lang w:eastAsia="fr-FR"/>
              </w:rPr>
              <w:t>Entreprises signataires du Pacte mondial des Nations unies (en % de portefeuille)</w:t>
            </w:r>
          </w:p>
        </w:tc>
      </w:tr>
      <w:tr w:rsidR="00B57541" w:rsidRPr="002E130A" w14:paraId="78402F28" w14:textId="77777777" w:rsidTr="006E04AA">
        <w:trPr>
          <w:trHeight w:val="580"/>
        </w:trPr>
        <w:tc>
          <w:tcPr>
            <w:cnfStyle w:val="001000000000" w:firstRow="0" w:lastRow="0" w:firstColumn="1" w:lastColumn="0" w:oddVBand="0" w:evenVBand="0" w:oddHBand="0" w:evenHBand="0" w:firstRowFirstColumn="0" w:firstRowLastColumn="0" w:lastRowFirstColumn="0" w:lastRowLastColumn="0"/>
            <w:tcW w:w="4815" w:type="dxa"/>
            <w:hideMark/>
          </w:tcPr>
          <w:p w14:paraId="722AA1E3"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12. Écart non ajusté de rémunération entre les hommes et les femmes </w:t>
            </w:r>
            <w:r w:rsidRPr="002E130A">
              <w:rPr>
                <w:rFonts w:ascii="Calibri" w:eastAsia="Times New Roman" w:hAnsi="Calibri" w:cs="Calibri"/>
                <w:b w:val="0"/>
                <w:bCs w:val="0"/>
                <w:color w:val="000000"/>
                <w:lang w:eastAsia="fr-FR"/>
              </w:rPr>
              <w:t>(% moyen)</w:t>
            </w:r>
          </w:p>
        </w:tc>
        <w:tc>
          <w:tcPr>
            <w:tcW w:w="1276" w:type="dxa"/>
            <w:noWrap/>
            <w:hideMark/>
          </w:tcPr>
          <w:p w14:paraId="6891851D" w14:textId="58FFF3DF" w:rsidR="00B57541" w:rsidRPr="00B57541"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11,3%</w:t>
            </w:r>
          </w:p>
        </w:tc>
        <w:tc>
          <w:tcPr>
            <w:tcW w:w="1221" w:type="dxa"/>
            <w:noWrap/>
            <w:hideMark/>
          </w:tcPr>
          <w:p w14:paraId="31AC88EC" w14:textId="77777777" w:rsidR="00B57541" w:rsidRPr="002E130A"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88,1%</w:t>
            </w:r>
          </w:p>
        </w:tc>
        <w:tc>
          <w:tcPr>
            <w:tcW w:w="3031" w:type="dxa"/>
            <w:hideMark/>
          </w:tcPr>
          <w:p w14:paraId="430D81FA" w14:textId="77777777" w:rsidR="00B57541" w:rsidRPr="002E130A" w:rsidRDefault="00B57541" w:rsidP="00B57541">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 </w:t>
            </w:r>
          </w:p>
        </w:tc>
      </w:tr>
      <w:tr w:rsidR="00B57541" w:rsidRPr="002E130A" w14:paraId="72C230FE" w14:textId="77777777" w:rsidTr="006E04A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815" w:type="dxa"/>
            <w:hideMark/>
          </w:tcPr>
          <w:p w14:paraId="515DFB7B"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13. Diversité hommes-femmes aux conseils d'administration </w:t>
            </w:r>
            <w:r w:rsidRPr="002E130A">
              <w:rPr>
                <w:rFonts w:ascii="Calibri" w:eastAsia="Times New Roman" w:hAnsi="Calibri" w:cs="Calibri"/>
                <w:b w:val="0"/>
                <w:bCs w:val="0"/>
                <w:color w:val="000000"/>
                <w:lang w:eastAsia="fr-FR"/>
              </w:rPr>
              <w:t>(ratio moyen au sein des entreprises en portefeuille)</w:t>
            </w:r>
          </w:p>
        </w:tc>
        <w:tc>
          <w:tcPr>
            <w:tcW w:w="1276" w:type="dxa"/>
            <w:noWrap/>
            <w:hideMark/>
          </w:tcPr>
          <w:p w14:paraId="1D857188" w14:textId="7CDE6276" w:rsidR="00B57541" w:rsidRPr="00B57541"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40,4%</w:t>
            </w:r>
          </w:p>
        </w:tc>
        <w:tc>
          <w:tcPr>
            <w:tcW w:w="1221" w:type="dxa"/>
            <w:noWrap/>
            <w:hideMark/>
          </w:tcPr>
          <w:p w14:paraId="23612BB3" w14:textId="77777777" w:rsidR="00B57541" w:rsidRPr="002E130A"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99,4%</w:t>
            </w:r>
          </w:p>
        </w:tc>
        <w:tc>
          <w:tcPr>
            <w:tcW w:w="3031" w:type="dxa"/>
            <w:hideMark/>
          </w:tcPr>
          <w:p w14:paraId="61D63BD4" w14:textId="77777777" w:rsidR="00B57541" w:rsidRPr="002E130A" w:rsidRDefault="00B57541" w:rsidP="00B57541">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 </w:t>
            </w:r>
          </w:p>
        </w:tc>
      </w:tr>
      <w:tr w:rsidR="00B57541" w:rsidRPr="002E130A" w14:paraId="49AE8013" w14:textId="77777777" w:rsidTr="006E04AA">
        <w:trPr>
          <w:trHeight w:val="580"/>
        </w:trPr>
        <w:tc>
          <w:tcPr>
            <w:cnfStyle w:val="001000000000" w:firstRow="0" w:lastRow="0" w:firstColumn="1" w:lastColumn="0" w:oddVBand="0" w:evenVBand="0" w:oddHBand="0" w:evenHBand="0" w:firstRowFirstColumn="0" w:firstRowLastColumn="0" w:lastRowFirstColumn="0" w:lastRowLastColumn="0"/>
            <w:tcW w:w="4815" w:type="dxa"/>
            <w:hideMark/>
          </w:tcPr>
          <w:p w14:paraId="1EDE7F94"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14. Exposition aux armes controversées (mines antipersonnel, armes à sous</w:t>
            </w:r>
            <w:r w:rsidRPr="004960C3">
              <w:rPr>
                <w:rFonts w:ascii="Calibri" w:eastAsia="Times New Roman" w:hAnsi="Calibri" w:cs="Calibri"/>
                <w:color w:val="000000"/>
                <w:lang w:eastAsia="fr-FR"/>
              </w:rPr>
              <w:t>-</w:t>
            </w:r>
            <w:r w:rsidRPr="002E130A">
              <w:rPr>
                <w:rFonts w:ascii="Calibri" w:eastAsia="Times New Roman" w:hAnsi="Calibri" w:cs="Calibri"/>
                <w:color w:val="000000"/>
                <w:lang w:eastAsia="fr-FR"/>
              </w:rPr>
              <w:t xml:space="preserve">munitions, armes chimiques et armes biologiques) </w:t>
            </w:r>
            <w:r w:rsidRPr="002E130A">
              <w:rPr>
                <w:rFonts w:ascii="Calibri" w:eastAsia="Times New Roman" w:hAnsi="Calibri" w:cs="Calibri"/>
                <w:b w:val="0"/>
                <w:bCs w:val="0"/>
                <w:color w:val="000000"/>
                <w:lang w:eastAsia="fr-FR"/>
              </w:rPr>
              <w:t>(en % de portefeuille)</w:t>
            </w:r>
          </w:p>
        </w:tc>
        <w:tc>
          <w:tcPr>
            <w:tcW w:w="1276" w:type="dxa"/>
            <w:noWrap/>
            <w:hideMark/>
          </w:tcPr>
          <w:p w14:paraId="58D11B9E" w14:textId="57162C76" w:rsidR="00B57541" w:rsidRPr="00B57541"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0%</w:t>
            </w:r>
          </w:p>
        </w:tc>
        <w:tc>
          <w:tcPr>
            <w:tcW w:w="1221" w:type="dxa"/>
            <w:noWrap/>
            <w:hideMark/>
          </w:tcPr>
          <w:p w14:paraId="691D67D8" w14:textId="77777777" w:rsidR="00B57541" w:rsidRPr="002E130A"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99,9%</w:t>
            </w:r>
          </w:p>
        </w:tc>
        <w:tc>
          <w:tcPr>
            <w:tcW w:w="3031" w:type="dxa"/>
            <w:hideMark/>
          </w:tcPr>
          <w:p w14:paraId="2825B571" w14:textId="77777777" w:rsidR="00B57541" w:rsidRPr="002E130A" w:rsidRDefault="00B57541" w:rsidP="00B57541">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 </w:t>
            </w:r>
          </w:p>
        </w:tc>
      </w:tr>
      <w:tr w:rsidR="00B57541" w:rsidRPr="002E130A" w14:paraId="51DBB035" w14:textId="77777777" w:rsidTr="006E04A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815" w:type="dxa"/>
            <w:hideMark/>
          </w:tcPr>
          <w:p w14:paraId="46743271"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Investissements dans des sociétés n'ayant pas pris d'initiatives pour réduire leurs émissions de carbone</w:t>
            </w:r>
          </w:p>
        </w:tc>
        <w:tc>
          <w:tcPr>
            <w:tcW w:w="1276" w:type="dxa"/>
            <w:noWrap/>
            <w:hideMark/>
          </w:tcPr>
          <w:p w14:paraId="72BFF536" w14:textId="1292CB90" w:rsidR="00B57541" w:rsidRPr="00B57541"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0%</w:t>
            </w:r>
          </w:p>
        </w:tc>
        <w:tc>
          <w:tcPr>
            <w:tcW w:w="1221" w:type="dxa"/>
            <w:noWrap/>
            <w:hideMark/>
          </w:tcPr>
          <w:p w14:paraId="492F027E" w14:textId="77777777" w:rsidR="00B57541" w:rsidRPr="002E130A" w:rsidRDefault="00B57541" w:rsidP="00B5754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99,9%</w:t>
            </w:r>
          </w:p>
        </w:tc>
        <w:tc>
          <w:tcPr>
            <w:tcW w:w="3031" w:type="dxa"/>
            <w:hideMark/>
          </w:tcPr>
          <w:p w14:paraId="2B7F6894" w14:textId="77777777" w:rsidR="00B57541" w:rsidRPr="002E130A" w:rsidRDefault="00B57541" w:rsidP="00B57541">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 </w:t>
            </w:r>
          </w:p>
        </w:tc>
      </w:tr>
      <w:tr w:rsidR="00B57541" w:rsidRPr="002E130A" w14:paraId="65D84D7B" w14:textId="77777777" w:rsidTr="006E04AA">
        <w:trPr>
          <w:trHeight w:val="580"/>
        </w:trPr>
        <w:tc>
          <w:tcPr>
            <w:cnfStyle w:val="001000000000" w:firstRow="0" w:lastRow="0" w:firstColumn="1" w:lastColumn="0" w:oddVBand="0" w:evenVBand="0" w:oddHBand="0" w:evenHBand="0" w:firstRowFirstColumn="0" w:firstRowLastColumn="0" w:lastRowFirstColumn="0" w:lastRowLastColumn="0"/>
            <w:tcW w:w="4815" w:type="dxa"/>
            <w:hideMark/>
          </w:tcPr>
          <w:p w14:paraId="7403D52A" w14:textId="77777777" w:rsidR="00B57541" w:rsidRPr="002E130A" w:rsidRDefault="00B57541" w:rsidP="00B57541">
            <w:pPr>
              <w:spacing w:line="240" w:lineRule="auto"/>
              <w:jc w:val="left"/>
              <w:rPr>
                <w:rFonts w:ascii="Calibri" w:eastAsia="Times New Roman" w:hAnsi="Calibri" w:cs="Calibri"/>
                <w:color w:val="000000"/>
                <w:lang w:eastAsia="fr-FR"/>
              </w:rPr>
            </w:pPr>
            <w:r w:rsidRPr="002E130A">
              <w:rPr>
                <w:rFonts w:ascii="Calibri" w:eastAsia="Times New Roman" w:hAnsi="Calibri" w:cs="Calibri"/>
                <w:color w:val="000000"/>
                <w:lang w:eastAsia="fr-FR"/>
              </w:rPr>
              <w:t xml:space="preserve">Politique liée à la déforestation </w:t>
            </w:r>
            <w:r w:rsidRPr="002E130A">
              <w:rPr>
                <w:rFonts w:ascii="Calibri" w:eastAsia="Times New Roman" w:hAnsi="Calibri" w:cs="Calibri"/>
                <w:b w:val="0"/>
                <w:bCs w:val="0"/>
                <w:color w:val="000000"/>
                <w:lang w:eastAsia="fr-FR"/>
              </w:rPr>
              <w:t>(% des investissements dans les entreprises concernées qui ne mettent pas en place une politique de déforestation)</w:t>
            </w:r>
          </w:p>
        </w:tc>
        <w:tc>
          <w:tcPr>
            <w:tcW w:w="1276" w:type="dxa"/>
            <w:noWrap/>
            <w:hideMark/>
          </w:tcPr>
          <w:p w14:paraId="5215AC62" w14:textId="7A2EE3AF" w:rsidR="00B57541" w:rsidRPr="00B57541"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eastAsia="fr-FR"/>
              </w:rPr>
            </w:pPr>
            <w:r w:rsidRPr="00B57541">
              <w:rPr>
                <w:rFonts w:asciiTheme="minorHAnsi" w:hAnsiTheme="minorHAnsi" w:cstheme="minorHAnsi"/>
                <w:b/>
                <w:bCs/>
                <w:color w:val="auto"/>
              </w:rPr>
              <w:t>42,3%</w:t>
            </w:r>
          </w:p>
        </w:tc>
        <w:tc>
          <w:tcPr>
            <w:tcW w:w="1221" w:type="dxa"/>
            <w:noWrap/>
            <w:hideMark/>
          </w:tcPr>
          <w:p w14:paraId="24831CD2" w14:textId="77777777" w:rsidR="00B57541" w:rsidRPr="002E130A" w:rsidRDefault="00B57541" w:rsidP="00B5754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100,0%</w:t>
            </w:r>
          </w:p>
        </w:tc>
        <w:tc>
          <w:tcPr>
            <w:tcW w:w="3031" w:type="dxa"/>
            <w:hideMark/>
          </w:tcPr>
          <w:p w14:paraId="54F5695F" w14:textId="77777777" w:rsidR="00B57541" w:rsidRPr="002E130A" w:rsidRDefault="00B57541" w:rsidP="00B57541">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E130A">
              <w:rPr>
                <w:rFonts w:ascii="Calibri" w:eastAsia="Times New Roman" w:hAnsi="Calibri" w:cs="Calibri"/>
                <w:color w:val="000000"/>
                <w:lang w:eastAsia="fr-FR"/>
              </w:rPr>
              <w:t> </w:t>
            </w:r>
          </w:p>
        </w:tc>
      </w:tr>
    </w:tbl>
    <w:p w14:paraId="36215E12" w14:textId="77777777" w:rsidR="00E055F0" w:rsidRPr="00FB5F5B" w:rsidRDefault="00E055F0" w:rsidP="00E055F0"/>
    <w:p w14:paraId="56EAAB1C" w14:textId="77777777" w:rsidR="00284B4F" w:rsidRDefault="00284B4F" w:rsidP="00034B28"/>
    <w:sectPr w:rsidR="00284B4F" w:rsidSect="009C0F83">
      <w:headerReference w:type="default" r:id="rId22"/>
      <w:footerReference w:type="default" r:id="rId23"/>
      <w:footerReference w:type="first" r:id="rId24"/>
      <w:pgSz w:w="11906" w:h="16838" w:code="9"/>
      <w:pgMar w:top="147" w:right="851" w:bottom="567" w:left="851" w:header="177" w:footer="4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55C5C" w14:textId="77777777" w:rsidR="005A1F55" w:rsidRDefault="005A1F55">
      <w:r>
        <w:separator/>
      </w:r>
    </w:p>
  </w:endnote>
  <w:endnote w:type="continuationSeparator" w:id="0">
    <w:p w14:paraId="72DE7DBC" w14:textId="77777777" w:rsidR="005A1F55" w:rsidRDefault="005A1F55">
      <w:r>
        <w:continuationSeparator/>
      </w:r>
    </w:p>
  </w:endnote>
  <w:endnote w:type="continuationNotice" w:id="1">
    <w:p w14:paraId="4BEF3D50" w14:textId="77777777" w:rsidR="005A1F55" w:rsidRDefault="005A1F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DCB1" w14:textId="77777777" w:rsidR="001D55DD" w:rsidRDefault="001D55DD" w:rsidP="00856BBF">
    <w:pPr>
      <w:pStyle w:val="Pieddepage"/>
    </w:pPr>
  </w:p>
  <w:p w14:paraId="6A7050C9" w14:textId="77777777" w:rsidR="001D55DD" w:rsidRPr="00856BBF" w:rsidRDefault="001D55DD" w:rsidP="00856BBF">
    <w:pPr>
      <w:pStyle w:val="Pieddepage"/>
    </w:pPr>
  </w:p>
  <w:tbl>
    <w:tblPr>
      <w:tblW w:w="5000" w:type="pct"/>
      <w:tblCellMar>
        <w:left w:w="70" w:type="dxa"/>
        <w:right w:w="70" w:type="dxa"/>
      </w:tblCellMar>
      <w:tblLook w:val="0000" w:firstRow="0" w:lastRow="0" w:firstColumn="0" w:lastColumn="0" w:noHBand="0" w:noVBand="0"/>
    </w:tblPr>
    <w:tblGrid>
      <w:gridCol w:w="9343"/>
      <w:gridCol w:w="861"/>
    </w:tblGrid>
    <w:tr w:rsidR="001D55DD" w:rsidRPr="00856BBF" w14:paraId="4C178E25" w14:textId="77777777" w:rsidTr="00361AB0">
      <w:trPr>
        <w:trHeight w:val="284"/>
      </w:trPr>
      <w:tc>
        <w:tcPr>
          <w:tcW w:w="4578" w:type="pct"/>
          <w:vAlign w:val="bottom"/>
        </w:tcPr>
        <w:p w14:paraId="71D81631" w14:textId="77777777" w:rsidR="001D55DD" w:rsidRPr="00856BBF" w:rsidRDefault="001D55DD" w:rsidP="00361AB0">
          <w:pPr>
            <w:pStyle w:val="Pieddepage"/>
          </w:pPr>
          <w:r>
            <w:t xml:space="preserve">Bpifrance | </w:t>
          </w:r>
        </w:p>
      </w:tc>
      <w:tc>
        <w:tcPr>
          <w:tcW w:w="422" w:type="pct"/>
          <w:vAlign w:val="bottom"/>
        </w:tcPr>
        <w:p w14:paraId="09D85A94" w14:textId="77777777" w:rsidR="001D55DD" w:rsidRPr="00856BBF" w:rsidRDefault="001D55DD" w:rsidP="002B794C">
          <w:pPr>
            <w:pStyle w:val="Pieddepagedegarde"/>
          </w:pPr>
          <w:r w:rsidRPr="00361AB0">
            <w:rPr>
              <w:sz w:val="26"/>
            </w:rPr>
            <w:t xml:space="preserve">| </w:t>
          </w:r>
          <w:r w:rsidRPr="00856BBF">
            <w:fldChar w:fldCharType="begin"/>
          </w:r>
          <w:r w:rsidRPr="00856BBF">
            <w:instrText xml:space="preserve"> PAGE  \* MERGEFORMAT </w:instrText>
          </w:r>
          <w:r w:rsidRPr="00856BBF">
            <w:fldChar w:fldCharType="separate"/>
          </w:r>
          <w:r w:rsidR="00E72712">
            <w:rPr>
              <w:noProof/>
            </w:rPr>
            <w:t>8</w:t>
          </w:r>
          <w:r w:rsidRPr="00856BBF">
            <w:fldChar w:fldCharType="end"/>
          </w:r>
          <w:r w:rsidRPr="00856BBF">
            <w:t xml:space="preserve"> sur </w:t>
          </w:r>
          <w:r w:rsidR="006D394A">
            <w:rPr>
              <w:noProof/>
            </w:rPr>
            <w:fldChar w:fldCharType="begin"/>
          </w:r>
          <w:r w:rsidR="006D394A">
            <w:rPr>
              <w:noProof/>
            </w:rPr>
            <w:instrText xml:space="preserve"> NUMPAGES  \* MERGEFORMAT </w:instrText>
          </w:r>
          <w:r w:rsidR="006D394A">
            <w:rPr>
              <w:noProof/>
            </w:rPr>
            <w:fldChar w:fldCharType="separate"/>
          </w:r>
          <w:r w:rsidR="00E72712">
            <w:rPr>
              <w:noProof/>
            </w:rPr>
            <w:t>8</w:t>
          </w:r>
          <w:r w:rsidR="006D394A">
            <w:rPr>
              <w:noProof/>
            </w:rPr>
            <w:fldChar w:fldCharType="end"/>
          </w:r>
        </w:p>
      </w:tc>
    </w:tr>
  </w:tbl>
  <w:p w14:paraId="3EB50BFD" w14:textId="77777777" w:rsidR="001D55DD" w:rsidRPr="00856BBF" w:rsidRDefault="001D55DD" w:rsidP="002B794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03E06" w14:textId="77777777" w:rsidR="001D55DD" w:rsidRDefault="001D55DD" w:rsidP="002B794C">
    <w:pPr>
      <w:pStyle w:val="Pieddepagedegarde"/>
    </w:pPr>
  </w:p>
  <w:p w14:paraId="4FD84139" w14:textId="77777777" w:rsidR="005C54B6" w:rsidRPr="002B794C" w:rsidRDefault="005C54B6" w:rsidP="002B794C">
    <w:pPr>
      <w:pStyle w:val="Pieddepagedegar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A1861" w14:textId="77777777" w:rsidR="005A1F55" w:rsidRDefault="005A1F55">
      <w:r>
        <w:separator/>
      </w:r>
    </w:p>
  </w:footnote>
  <w:footnote w:type="continuationSeparator" w:id="0">
    <w:p w14:paraId="71CFC119" w14:textId="77777777" w:rsidR="005A1F55" w:rsidRDefault="005A1F55">
      <w:r>
        <w:continuationSeparator/>
      </w:r>
    </w:p>
  </w:footnote>
  <w:footnote w:type="continuationNotice" w:id="1">
    <w:p w14:paraId="28E0912B" w14:textId="77777777" w:rsidR="005A1F55" w:rsidRDefault="005A1F55">
      <w:pPr>
        <w:spacing w:line="240" w:lineRule="auto"/>
      </w:pPr>
    </w:p>
  </w:footnote>
  <w:footnote w:id="2">
    <w:p w14:paraId="45B025CE" w14:textId="605DBD68" w:rsidR="008C0D54" w:rsidRPr="00D209EA" w:rsidRDefault="008C0D54">
      <w:pPr>
        <w:pStyle w:val="Notedebasdepage"/>
        <w:rPr>
          <w:sz w:val="18"/>
          <w:szCs w:val="18"/>
        </w:rPr>
      </w:pPr>
      <w:r>
        <w:rPr>
          <w:rStyle w:val="Appelnotedebasdep"/>
        </w:rPr>
        <w:footnoteRef/>
      </w:r>
      <w:r>
        <w:t xml:space="preserve"> </w:t>
      </w:r>
      <w:r w:rsidRPr="00D209EA">
        <w:rPr>
          <w:sz w:val="18"/>
          <w:szCs w:val="18"/>
        </w:rPr>
        <w:t>Incluant la vente spécialisée, dont les cigarettes électroniques</w:t>
      </w:r>
    </w:p>
  </w:footnote>
  <w:footnote w:id="3">
    <w:p w14:paraId="1AFF7859" w14:textId="69140448" w:rsidR="008C0D54" w:rsidRPr="008C0D54" w:rsidRDefault="008C0D54">
      <w:pPr>
        <w:pStyle w:val="Notedebasdepage"/>
        <w:rPr>
          <w:sz w:val="18"/>
          <w:szCs w:val="18"/>
        </w:rPr>
      </w:pPr>
      <w:r>
        <w:rPr>
          <w:rStyle w:val="Appelnotedebasdep"/>
        </w:rPr>
        <w:footnoteRef/>
      </w:r>
      <w:r>
        <w:t xml:space="preserve"> </w:t>
      </w:r>
      <w:r w:rsidRPr="008C0D54">
        <w:rPr>
          <w:sz w:val="18"/>
          <w:szCs w:val="18"/>
        </w:rPr>
        <w:t>Hors casinos.</w:t>
      </w:r>
    </w:p>
  </w:footnote>
  <w:footnote w:id="4">
    <w:p w14:paraId="7055195E" w14:textId="5A51FBA9" w:rsidR="008C0D54" w:rsidRPr="008C0D54" w:rsidRDefault="008C0D54">
      <w:pPr>
        <w:pStyle w:val="Notedebasdepage"/>
        <w:rPr>
          <w:sz w:val="18"/>
          <w:szCs w:val="18"/>
        </w:rPr>
      </w:pPr>
      <w:r w:rsidRPr="008C0D54">
        <w:rPr>
          <w:rStyle w:val="Appelnotedebasdep"/>
          <w:sz w:val="18"/>
          <w:szCs w:val="18"/>
        </w:rPr>
        <w:footnoteRef/>
      </w:r>
      <w:r w:rsidRPr="008C0D54">
        <w:rPr>
          <w:sz w:val="18"/>
          <w:szCs w:val="18"/>
        </w:rPr>
        <w:t xml:space="preserve"> Le traité d’Ottawa (ou Convention sur l’interdiction des mines antipersonnel) interdit l’emploi, le stockage, la production et le transfert des mines antipersonnel et encourage leur destruction. Il a été signé le 3 et 4 décembre 1997 par 122 Etats dont la France, et réunit désormais 164 Etats.</w:t>
      </w:r>
    </w:p>
  </w:footnote>
  <w:footnote w:id="5">
    <w:p w14:paraId="2C8B73CF" w14:textId="0BE4A669" w:rsidR="008C0D54" w:rsidRPr="008C0D54" w:rsidRDefault="008C0D54">
      <w:pPr>
        <w:pStyle w:val="Notedebasdepage"/>
        <w:rPr>
          <w:sz w:val="18"/>
          <w:szCs w:val="18"/>
        </w:rPr>
      </w:pPr>
      <w:r w:rsidRPr="008C0D54">
        <w:rPr>
          <w:rStyle w:val="Appelnotedebasdep"/>
          <w:sz w:val="18"/>
          <w:szCs w:val="18"/>
        </w:rPr>
        <w:footnoteRef/>
      </w:r>
      <w:r w:rsidRPr="008C0D54">
        <w:rPr>
          <w:sz w:val="18"/>
          <w:szCs w:val="18"/>
        </w:rPr>
        <w:t xml:space="preserve"> La Convention d’Oslo (ou Convention sur les armes à sous-munitions) interdit l’utilisation, la production, le stockage et le transfert de toutes les armes à sous-munitions définies comme telles. Elle a été signée le 3 décembre 2008 par 94 Etats dont la France, et réunit désormais 115 Etats.</w:t>
      </w:r>
    </w:p>
  </w:footnote>
  <w:footnote w:id="6">
    <w:p w14:paraId="5281C3FB" w14:textId="375FA405" w:rsidR="008C0D54" w:rsidRPr="008C0D54" w:rsidRDefault="008C0D54">
      <w:pPr>
        <w:pStyle w:val="Notedebasdepage"/>
        <w:rPr>
          <w:sz w:val="18"/>
          <w:szCs w:val="18"/>
        </w:rPr>
      </w:pPr>
      <w:r w:rsidRPr="008C0D54">
        <w:rPr>
          <w:rStyle w:val="Appelnotedebasdep"/>
          <w:sz w:val="18"/>
          <w:szCs w:val="18"/>
        </w:rPr>
        <w:footnoteRef/>
      </w:r>
      <w:r w:rsidRPr="008C0D54">
        <w:rPr>
          <w:sz w:val="18"/>
          <w:szCs w:val="18"/>
        </w:rPr>
        <w:t xml:space="preserve"> Les armes chimiques sont définies comme tous les agents chimiques toxiques lorsqu’ils sont employés dans un but militaire, ainsi que les munitions et dispositifs spécifiquement conçus pour provoquer des dommages par l’action des produits toxiques. La convention sur l’interdiction des armes chimiques (CIAC) de 1997 Interdiction du développement, de la production, de la mise au point, l’acquisition, du stockage, la détention et le transfert des armes chimiques.</w:t>
      </w:r>
    </w:p>
  </w:footnote>
  <w:footnote w:id="7">
    <w:p w14:paraId="555A3A00" w14:textId="00D18E66" w:rsidR="008C0D54" w:rsidRPr="008C0D54" w:rsidRDefault="008C0D54">
      <w:pPr>
        <w:pStyle w:val="Notedebasdepage"/>
        <w:rPr>
          <w:sz w:val="18"/>
          <w:szCs w:val="18"/>
        </w:rPr>
      </w:pPr>
      <w:r w:rsidRPr="008C0D54">
        <w:rPr>
          <w:rStyle w:val="Appelnotedebasdep"/>
          <w:sz w:val="18"/>
          <w:szCs w:val="18"/>
        </w:rPr>
        <w:footnoteRef/>
      </w:r>
      <w:r w:rsidRPr="008C0D54">
        <w:rPr>
          <w:sz w:val="18"/>
          <w:szCs w:val="18"/>
        </w:rPr>
        <w:t xml:space="preserve"> Les armes nucléaires s’appuient sur l’énergie dégagée par la fission de noyaux atomiques (uranium, plutonium ou hydrogène). Le traité de non-prolifération des armes nucléaires (TNP) de 1970 interdit le transfert d’armes nucléaires, et encadre celui de composants pouvant permettre de développer des armes nucléaires. Il incite néanmoins à la coopération technologique et scientifique en matière de nucléaire civil.</w:t>
      </w:r>
    </w:p>
  </w:footnote>
  <w:footnote w:id="8">
    <w:p w14:paraId="64271A6A" w14:textId="02F9BF5A" w:rsidR="008C0D54" w:rsidRPr="008C0D54" w:rsidRDefault="008C0D54">
      <w:pPr>
        <w:pStyle w:val="Notedebasdepage"/>
        <w:rPr>
          <w:sz w:val="18"/>
          <w:szCs w:val="18"/>
        </w:rPr>
      </w:pPr>
      <w:r w:rsidRPr="008C0D54">
        <w:rPr>
          <w:rStyle w:val="Appelnotedebasdep"/>
          <w:sz w:val="18"/>
          <w:szCs w:val="18"/>
        </w:rPr>
        <w:footnoteRef/>
      </w:r>
      <w:r w:rsidRPr="008C0D54">
        <w:rPr>
          <w:sz w:val="18"/>
          <w:szCs w:val="18"/>
        </w:rPr>
        <w:t xml:space="preserve"> Les armes biologiques sont des agents microbiologiques ou autres agents biologiques, ainsi que des toxines qui ne sont pas destinés à des fins prophylactiques, de protection ou à d’autres fins pacifiques. La convention sur l’interdiction des armes biologiques (CIAB) de 1975 interdit le développement, la production, le stockage et l’acquisition d’agents biologiques et de toxines à un but militaire.</w:t>
      </w:r>
    </w:p>
  </w:footnote>
  <w:footnote w:id="9">
    <w:p w14:paraId="7D590759" w14:textId="1C26022A" w:rsidR="003F79F7" w:rsidRPr="003F79F7" w:rsidRDefault="003F79F7">
      <w:pPr>
        <w:pStyle w:val="Notedebasdepage"/>
        <w:rPr>
          <w:sz w:val="18"/>
          <w:szCs w:val="18"/>
        </w:rPr>
      </w:pPr>
      <w:r>
        <w:rPr>
          <w:rStyle w:val="Appelnotedebasdep"/>
        </w:rPr>
        <w:footnoteRef/>
      </w:r>
      <w:r>
        <w:t xml:space="preserve"> </w:t>
      </w:r>
      <w:r w:rsidRPr="003F79F7">
        <w:rPr>
          <w:sz w:val="18"/>
          <w:szCs w:val="18"/>
        </w:rPr>
        <w:t>Ce sont des fonds négociables en bourse basés notamment sur les matières premières agricoles alimentaires de base et aux transactions spéculatives qui pourraient contribuer à l’inflation des matières premières agricoles de base d’origine agricole ou maritime (blé, riz, viande, soja, sucre, produits laitiers, poisson et maïs).</w:t>
      </w:r>
    </w:p>
  </w:footnote>
  <w:footnote w:id="10">
    <w:p w14:paraId="7296BCB7" w14:textId="77777777" w:rsidR="007F6238" w:rsidRPr="0085389B" w:rsidRDefault="007F6238" w:rsidP="007F6238">
      <w:pPr>
        <w:pStyle w:val="Notedebasdepage"/>
        <w:rPr>
          <w:sz w:val="18"/>
          <w:szCs w:val="18"/>
        </w:rPr>
      </w:pPr>
      <w:r>
        <w:rPr>
          <w:rStyle w:val="Appelnotedebasdep"/>
        </w:rPr>
        <w:footnoteRef/>
      </w:r>
      <w:r>
        <w:t xml:space="preserve"> </w:t>
      </w:r>
      <w:r w:rsidRPr="0085389B">
        <w:rPr>
          <w:sz w:val="18"/>
          <w:szCs w:val="18"/>
        </w:rPr>
        <w:t>Effectif CDI et CDD en activité au 31/12/2022, hors alternants, lesquels ajoutent environ 280 personnes au total groupe.</w:t>
      </w:r>
    </w:p>
  </w:footnote>
  <w:footnote w:id="11">
    <w:p w14:paraId="1BD2AE0C" w14:textId="77777777" w:rsidR="007F6238" w:rsidRPr="00D976DB" w:rsidRDefault="007F6238" w:rsidP="007F6238">
      <w:pPr>
        <w:pStyle w:val="Notedebasdepage"/>
        <w:rPr>
          <w:sz w:val="18"/>
          <w:szCs w:val="18"/>
        </w:rPr>
      </w:pPr>
      <w:r>
        <w:rPr>
          <w:rStyle w:val="Appelnotedebasdep"/>
        </w:rPr>
        <w:footnoteRef/>
      </w:r>
      <w:r>
        <w:t xml:space="preserve"> </w:t>
      </w:r>
      <w:r w:rsidRPr="00D976DB">
        <w:rPr>
          <w:sz w:val="18"/>
          <w:szCs w:val="18"/>
        </w:rPr>
        <w:t>Il est difficile de déterminer une part</w:t>
      </w:r>
      <w:r>
        <w:rPr>
          <w:sz w:val="18"/>
          <w:szCs w:val="18"/>
        </w:rPr>
        <w:t xml:space="preserve"> en pourcentage</w:t>
      </w:r>
      <w:r w:rsidRPr="00D976DB">
        <w:rPr>
          <w:sz w:val="18"/>
          <w:szCs w:val="18"/>
        </w:rPr>
        <w:t xml:space="preserve"> au sein de la société de gestion, ces ressources étant à cheval avec le reste du groupe</w:t>
      </w:r>
      <w:r>
        <w:rPr>
          <w:sz w:val="18"/>
          <w:szCs w:val="18"/>
        </w:rPr>
        <w:t>.</w:t>
      </w:r>
    </w:p>
  </w:footnote>
  <w:footnote w:id="12">
    <w:p w14:paraId="58C8A0BB" w14:textId="682EFB40" w:rsidR="003D5662" w:rsidRDefault="003D5662">
      <w:pPr>
        <w:pStyle w:val="Notedebasdepage"/>
      </w:pPr>
      <w:r>
        <w:rPr>
          <w:rStyle w:val="Appelnotedebasdep"/>
        </w:rPr>
        <w:footnoteRef/>
      </w:r>
      <w:r>
        <w:t xml:space="preserve"> </w:t>
      </w:r>
      <w:r w:rsidRPr="00913DEB">
        <w:rPr>
          <w:sz w:val="18"/>
          <w:szCs w:val="18"/>
        </w:rPr>
        <w:t xml:space="preserve">Les ETP </w:t>
      </w:r>
      <w:r w:rsidR="00913DEB" w:rsidRPr="00913DEB">
        <w:rPr>
          <w:sz w:val="18"/>
          <w:szCs w:val="18"/>
        </w:rPr>
        <w:t>incluent ici les</w:t>
      </w:r>
      <w:r w:rsidR="00913DEB">
        <w:rPr>
          <w:sz w:val="18"/>
          <w:szCs w:val="18"/>
        </w:rPr>
        <w:t xml:space="preserve"> </w:t>
      </w:r>
      <w:r w:rsidRPr="00913DEB">
        <w:rPr>
          <w:sz w:val="18"/>
          <w:szCs w:val="18"/>
        </w:rPr>
        <w:t>permanents, alternants et stagiaires</w:t>
      </w:r>
      <w:r w:rsidR="00913DEB">
        <w:rPr>
          <w:sz w:val="18"/>
          <w:szCs w:val="18"/>
        </w:rPr>
        <w:t>.</w:t>
      </w:r>
      <w:r w:rsidR="00257754">
        <w:rPr>
          <w:sz w:val="18"/>
          <w:szCs w:val="18"/>
        </w:rPr>
        <w:t xml:space="preserve"> Direction climat : hors </w:t>
      </w:r>
      <w:r w:rsidR="00A3348E">
        <w:rPr>
          <w:sz w:val="18"/>
          <w:szCs w:val="18"/>
        </w:rPr>
        <w:t xml:space="preserve">les </w:t>
      </w:r>
      <w:r w:rsidR="00257754">
        <w:rPr>
          <w:sz w:val="18"/>
          <w:szCs w:val="18"/>
        </w:rPr>
        <w:t>17 chargés de coordination climat</w:t>
      </w:r>
    </w:p>
  </w:footnote>
  <w:footnote w:id="13">
    <w:p w14:paraId="0EF7630C" w14:textId="4E2EFBE3" w:rsidR="00E239EF" w:rsidRDefault="00E239EF">
      <w:pPr>
        <w:pStyle w:val="Notedebasdepage"/>
      </w:pPr>
      <w:r w:rsidRPr="002C5657">
        <w:rPr>
          <w:rStyle w:val="Appelnotedebasdep"/>
          <w:sz w:val="18"/>
          <w:szCs w:val="18"/>
        </w:rPr>
        <w:footnoteRef/>
      </w:r>
      <w:r w:rsidRPr="002C5657">
        <w:rPr>
          <w:sz w:val="18"/>
          <w:szCs w:val="18"/>
        </w:rPr>
        <w:t xml:space="preserve"> </w:t>
      </w:r>
      <w:r w:rsidR="002C5657" w:rsidRPr="002C5657">
        <w:rPr>
          <w:sz w:val="18"/>
          <w:szCs w:val="18"/>
        </w:rPr>
        <w:t xml:space="preserve">Incluant la </w:t>
      </w:r>
      <w:hyperlink r:id="rId1" w:history="1">
        <w:r w:rsidR="002C5657" w:rsidRPr="00C80011">
          <w:rPr>
            <w:rStyle w:val="Lienhypertexte"/>
            <w:sz w:val="18"/>
            <w:szCs w:val="18"/>
          </w:rPr>
          <w:t>politique d’investisseur responsable</w:t>
        </w:r>
      </w:hyperlink>
      <w:r w:rsidR="002C5657" w:rsidRPr="002C5657">
        <w:rPr>
          <w:sz w:val="18"/>
          <w:szCs w:val="18"/>
        </w:rPr>
        <w:t xml:space="preserve"> </w:t>
      </w:r>
      <w:r w:rsidR="00C80011">
        <w:rPr>
          <w:sz w:val="18"/>
          <w:szCs w:val="18"/>
        </w:rPr>
        <w:t xml:space="preserve">et </w:t>
      </w:r>
      <w:r w:rsidR="003C7749">
        <w:rPr>
          <w:sz w:val="18"/>
          <w:szCs w:val="18"/>
        </w:rPr>
        <w:t xml:space="preserve">la </w:t>
      </w:r>
      <w:hyperlink r:id="rId2" w:history="1">
        <w:r w:rsidR="003C7749" w:rsidRPr="003C7749">
          <w:rPr>
            <w:rStyle w:val="Lienhypertexte"/>
            <w:sz w:val="18"/>
            <w:szCs w:val="18"/>
          </w:rPr>
          <w:t>politique de durabilité</w:t>
        </w:r>
      </w:hyperlink>
      <w:r w:rsidR="003C7749">
        <w:rPr>
          <w:sz w:val="18"/>
          <w:szCs w:val="18"/>
        </w:rPr>
        <w:t xml:space="preserve"> </w:t>
      </w:r>
      <w:r w:rsidR="002C5657" w:rsidRPr="002C5657">
        <w:rPr>
          <w:sz w:val="18"/>
          <w:szCs w:val="18"/>
        </w:rPr>
        <w:t>de Bpifrance Investissement</w:t>
      </w:r>
    </w:p>
  </w:footnote>
  <w:footnote w:id="14">
    <w:p w14:paraId="553D00D4" w14:textId="5B89A8FD" w:rsidR="005474A1" w:rsidRDefault="005474A1">
      <w:pPr>
        <w:pStyle w:val="Notedebasdepage"/>
      </w:pPr>
      <w:r w:rsidRPr="0005205D">
        <w:rPr>
          <w:rStyle w:val="Appelnotedebasdep"/>
          <w:sz w:val="18"/>
          <w:szCs w:val="18"/>
        </w:rPr>
        <w:footnoteRef/>
      </w:r>
      <w:r w:rsidRPr="0005205D">
        <w:rPr>
          <w:sz w:val="18"/>
          <w:szCs w:val="18"/>
        </w:rPr>
        <w:t xml:space="preserve"> </w:t>
      </w:r>
      <w:r w:rsidR="0005205D" w:rsidRPr="0005205D">
        <w:rPr>
          <w:sz w:val="18"/>
          <w:szCs w:val="18"/>
        </w:rPr>
        <w:t xml:space="preserve">Source : France Invest (16 juin 2023), </w:t>
      </w:r>
      <w:hyperlink r:id="rId3" w:history="1">
        <w:r w:rsidR="0005205D" w:rsidRPr="0005205D">
          <w:rPr>
            <w:rStyle w:val="Lienhypertexte"/>
            <w:sz w:val="18"/>
            <w:szCs w:val="18"/>
          </w:rPr>
          <w:t>https://www.franceinvest.eu/parite-dans-le-capital-investissement-en-2022/</w:t>
        </w:r>
      </w:hyperlink>
      <w:r w:rsidR="0005205D" w:rsidRPr="0005205D">
        <w:rPr>
          <w:sz w:val="18"/>
          <w:szCs w:val="18"/>
        </w:rPr>
        <w:t xml:space="preserve"> </w:t>
      </w:r>
    </w:p>
  </w:footnote>
  <w:footnote w:id="15">
    <w:p w14:paraId="18F524BA" w14:textId="77777777" w:rsidR="001E40C2" w:rsidRPr="004F7209" w:rsidRDefault="001E40C2" w:rsidP="001E40C2">
      <w:pPr>
        <w:pStyle w:val="Notedebasdepage"/>
        <w:rPr>
          <w:color w:val="59524B" w:themeColor="accent2" w:themeShade="BF"/>
          <w:sz w:val="18"/>
          <w:szCs w:val="18"/>
        </w:rPr>
      </w:pPr>
      <w:r w:rsidRPr="007E4C97">
        <w:rPr>
          <w:rStyle w:val="Appelnotedebasdep"/>
          <w:sz w:val="18"/>
          <w:szCs w:val="18"/>
        </w:rPr>
        <w:footnoteRef/>
      </w:r>
      <w:r w:rsidRPr="007E4C97">
        <w:rPr>
          <w:sz w:val="18"/>
          <w:szCs w:val="18"/>
        </w:rPr>
        <w:t xml:space="preserve"> </w:t>
      </w:r>
      <w:r w:rsidRPr="004F7209">
        <w:rPr>
          <w:color w:val="59524B" w:themeColor="accent2" w:themeShade="BF"/>
          <w:sz w:val="18"/>
          <w:szCs w:val="18"/>
        </w:rPr>
        <w:t>Politique de vote de Bpifrance : https://www.bpifrance.fr/nous-decouvrir/ethique-conformite</w:t>
      </w:r>
    </w:p>
  </w:footnote>
  <w:footnote w:id="16">
    <w:p w14:paraId="2A46FE12" w14:textId="77777777" w:rsidR="00017E5F" w:rsidRPr="004F7209" w:rsidRDefault="00017E5F" w:rsidP="00017E5F">
      <w:pPr>
        <w:pStyle w:val="Notedebasdepage"/>
        <w:rPr>
          <w:color w:val="59524B" w:themeColor="accent2" w:themeShade="BF"/>
          <w:sz w:val="18"/>
          <w:szCs w:val="18"/>
        </w:rPr>
      </w:pPr>
      <w:r w:rsidRPr="004F7209">
        <w:rPr>
          <w:rFonts w:eastAsia="Calibri" w:cs="Arial"/>
          <w:color w:val="59524B" w:themeColor="accent2" w:themeShade="BF"/>
          <w:sz w:val="18"/>
          <w:szCs w:val="18"/>
          <w:vertAlign w:val="superscript"/>
        </w:rPr>
        <w:footnoteRef/>
      </w:r>
      <w:r w:rsidRPr="004F7209">
        <w:rPr>
          <w:rFonts w:eastAsia="Calibri" w:cs="Arial"/>
          <w:color w:val="59524B" w:themeColor="accent2" w:themeShade="BF"/>
          <w:sz w:val="18"/>
          <w:szCs w:val="18"/>
        </w:rPr>
        <w:t xml:space="preserve"> Dont une société ayant transféré sa cotation d’Euronext à </w:t>
      </w:r>
      <w:r w:rsidRPr="00310D60">
        <w:rPr>
          <w:rFonts w:eastAsia="Calibri" w:cs="Arial"/>
          <w:i/>
          <w:iCs/>
          <w:color w:val="59524B" w:themeColor="accent2" w:themeShade="BF"/>
          <w:sz w:val="18"/>
          <w:szCs w:val="18"/>
        </w:rPr>
        <w:t>Euronext Growth</w:t>
      </w:r>
      <w:r w:rsidRPr="004F7209">
        <w:rPr>
          <w:rFonts w:eastAsia="Calibri" w:cs="Arial"/>
          <w:color w:val="59524B" w:themeColor="accent2" w:themeShade="BF"/>
          <w:sz w:val="18"/>
          <w:szCs w:val="18"/>
        </w:rPr>
        <w:t xml:space="preserve"> en cours d’année.</w:t>
      </w:r>
    </w:p>
  </w:footnote>
  <w:footnote w:id="17">
    <w:p w14:paraId="008DCD23" w14:textId="77777777" w:rsidR="00017E5F" w:rsidRPr="004F7209" w:rsidRDefault="00017E5F" w:rsidP="00017E5F">
      <w:pPr>
        <w:pStyle w:val="Notedebasdepage"/>
        <w:rPr>
          <w:color w:val="59524B" w:themeColor="accent2" w:themeShade="BF"/>
          <w:sz w:val="18"/>
          <w:szCs w:val="18"/>
        </w:rPr>
      </w:pPr>
      <w:r w:rsidRPr="004F7209">
        <w:rPr>
          <w:rFonts w:eastAsia="Calibri" w:cs="Arial"/>
          <w:color w:val="59524B" w:themeColor="accent2" w:themeShade="BF"/>
          <w:sz w:val="18"/>
          <w:szCs w:val="18"/>
          <w:vertAlign w:val="superscript"/>
        </w:rPr>
        <w:footnoteRef/>
      </w:r>
      <w:r w:rsidRPr="004F7209">
        <w:rPr>
          <w:rFonts w:eastAsia="Calibri" w:cs="Arial"/>
          <w:color w:val="59524B" w:themeColor="accent2" w:themeShade="BF"/>
          <w:sz w:val="18"/>
          <w:szCs w:val="18"/>
        </w:rPr>
        <w:t xml:space="preserve"> Un vote pour deux fonds à une même AG comptera pour deux AG, chaque fonds pouvant voter différemment en fonction de l’intérêt des souscripteurs par exemple.</w:t>
      </w:r>
    </w:p>
  </w:footnote>
  <w:footnote w:id="18">
    <w:p w14:paraId="7F22309B" w14:textId="77777777" w:rsidR="00222551" w:rsidRDefault="00222551" w:rsidP="00222551">
      <w:pPr>
        <w:pStyle w:val="Notedebasdepage"/>
      </w:pPr>
      <w:r>
        <w:rPr>
          <w:rStyle w:val="Appelnotedebasdep"/>
        </w:rPr>
        <w:footnoteRef/>
      </w:r>
      <w:r>
        <w:t xml:space="preserve"> Pour plus de détail, se référer à la page </w:t>
      </w:r>
      <w:hyperlink r:id="rId4" w:history="1">
        <w:r>
          <w:rPr>
            <w:rStyle w:val="Lienhypertexte"/>
          </w:rPr>
          <w:t>Lac1 | Bpifrance</w:t>
        </w:r>
      </w:hyperlink>
    </w:p>
  </w:footnote>
  <w:footnote w:id="19">
    <w:p w14:paraId="0D519002" w14:textId="6E4A2D7C" w:rsidR="009C247D" w:rsidRDefault="009C247D">
      <w:pPr>
        <w:pStyle w:val="Notedebasdepage"/>
      </w:pPr>
      <w:r w:rsidRPr="009C247D">
        <w:rPr>
          <w:rStyle w:val="Appelnotedebasdep"/>
          <w:sz w:val="18"/>
          <w:szCs w:val="18"/>
        </w:rPr>
        <w:footnoteRef/>
      </w:r>
      <w:r w:rsidRPr="009C247D">
        <w:rPr>
          <w:sz w:val="18"/>
          <w:szCs w:val="18"/>
        </w:rPr>
        <w:t xml:space="preserve"> Hors sociétés fournisseurs de produits et services (dites « parapétrolières »).</w:t>
      </w:r>
    </w:p>
  </w:footnote>
  <w:footnote w:id="20">
    <w:p w14:paraId="6DAB73C7" w14:textId="7072BE79" w:rsidR="00D56FC7" w:rsidRPr="0096159F" w:rsidRDefault="00D56FC7" w:rsidP="00D56FC7">
      <w:pPr>
        <w:pStyle w:val="Notedebasdepage"/>
        <w:rPr>
          <w:sz w:val="18"/>
          <w:szCs w:val="18"/>
        </w:rPr>
      </w:pPr>
      <w:r w:rsidRPr="0096159F">
        <w:rPr>
          <w:rStyle w:val="Appelnotedebasdep"/>
          <w:sz w:val="18"/>
          <w:szCs w:val="18"/>
        </w:rPr>
        <w:footnoteRef/>
      </w:r>
      <w:r w:rsidRPr="0096159F">
        <w:rPr>
          <w:sz w:val="18"/>
          <w:szCs w:val="18"/>
        </w:rPr>
        <w:t xml:space="preserve"> Hors </w:t>
      </w:r>
      <w:r w:rsidRPr="00BA6C4B">
        <w:rPr>
          <w:i/>
          <w:iCs/>
          <w:sz w:val="18"/>
          <w:szCs w:val="18"/>
        </w:rPr>
        <w:t>Green Bonds, Sustainable Bonds, Social Bonds</w:t>
      </w:r>
      <w:r w:rsidRPr="0096159F">
        <w:rPr>
          <w:sz w:val="18"/>
          <w:szCs w:val="18"/>
        </w:rPr>
        <w:t xml:space="preserve"> et hors sociétés principalement dédiées au transport, stockage et distribution de gaz en France et les pays frontaliers dont l’activité est régulée, les obligeant à une non-discrimination de l’accès à leurs infrastructures. </w:t>
      </w:r>
    </w:p>
  </w:footnote>
  <w:footnote w:id="21">
    <w:p w14:paraId="1A6F3150" w14:textId="0AF5958F" w:rsidR="0096159F" w:rsidRDefault="0096159F" w:rsidP="0096159F">
      <w:pPr>
        <w:pStyle w:val="Notedebasdepage"/>
      </w:pPr>
      <w:r w:rsidRPr="0096159F">
        <w:rPr>
          <w:rStyle w:val="Appelnotedebasdep"/>
          <w:sz w:val="18"/>
          <w:szCs w:val="18"/>
        </w:rPr>
        <w:footnoteRef/>
      </w:r>
      <w:r w:rsidRPr="0096159F">
        <w:rPr>
          <w:sz w:val="18"/>
          <w:szCs w:val="18"/>
        </w:rPr>
        <w:t xml:space="preserve"> A l’exception d’une entreprise qui développe, en France, des gaz de mine, permettant de diminuer les émissions de méthane des anciennes mines de charbon.</w:t>
      </w:r>
    </w:p>
  </w:footnote>
  <w:footnote w:id="22">
    <w:p w14:paraId="1E782789" w14:textId="4C04A419" w:rsidR="0096159F" w:rsidRDefault="0096159F" w:rsidP="00BA6C4B">
      <w:pPr>
        <w:pStyle w:val="Notedebasdepage"/>
      </w:pPr>
      <w:r w:rsidRPr="00BA6C4B">
        <w:rPr>
          <w:rStyle w:val="Appelnotedebasdep"/>
          <w:sz w:val="18"/>
          <w:szCs w:val="18"/>
        </w:rPr>
        <w:footnoteRef/>
      </w:r>
      <w:r w:rsidRPr="00BA6C4B">
        <w:rPr>
          <w:sz w:val="18"/>
          <w:szCs w:val="18"/>
        </w:rPr>
        <w:t xml:space="preserve"> </w:t>
      </w:r>
      <w:r w:rsidR="00BA6C4B" w:rsidRPr="00BA6C4B">
        <w:rPr>
          <w:sz w:val="18"/>
          <w:szCs w:val="18"/>
        </w:rPr>
        <w:t>Une infrastructure est dite associée à un projet si les conditions suivantes sont remplies : (a) elle est significativement liée au projet, (b) elle est réalisée dans une temporalité liée au projet, (c) le projet n’est pas viable sans elle et (d) elle ne serait pas réalisée sans le projet.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57AF" w14:textId="77777777" w:rsidR="001D55DD" w:rsidRDefault="001D55DD" w:rsidP="00361AB0">
    <w:pPr>
      <w:pStyle w:val="En-tte"/>
    </w:pPr>
  </w:p>
  <w:tbl>
    <w:tblPr>
      <w:tblW w:w="421" w:type="pct"/>
      <w:tblCellMar>
        <w:left w:w="70" w:type="dxa"/>
        <w:right w:w="70" w:type="dxa"/>
      </w:tblCellMar>
      <w:tblLook w:val="0000" w:firstRow="0" w:lastRow="0" w:firstColumn="0" w:lastColumn="0" w:noHBand="0" w:noVBand="0"/>
    </w:tblPr>
    <w:tblGrid>
      <w:gridCol w:w="859"/>
    </w:tblGrid>
    <w:tr w:rsidR="00A1161F" w14:paraId="41E374FD" w14:textId="77777777" w:rsidTr="00A1161F">
      <w:trPr>
        <w:cantSplit/>
      </w:trPr>
      <w:tc>
        <w:tcPr>
          <w:tcW w:w="5000" w:type="pct"/>
          <w:vAlign w:val="bottom"/>
        </w:tcPr>
        <w:p w14:paraId="1567959D" w14:textId="77777777" w:rsidR="00A1161F" w:rsidRDefault="00A1161F" w:rsidP="00273CD5">
          <w:pPr>
            <w:pStyle w:val="En-tte"/>
            <w:jc w:val="left"/>
          </w:pPr>
          <w:r>
            <w:rPr>
              <w:noProof/>
              <w:lang w:eastAsia="fr-FR"/>
            </w:rPr>
            <mc:AlternateContent>
              <mc:Choice Requires="wpg">
                <w:drawing>
                  <wp:inline distT="0" distB="0" distL="0" distR="0" wp14:anchorId="7B2574B8" wp14:editId="66FBA429">
                    <wp:extent cx="403860" cy="168910"/>
                    <wp:effectExtent l="0" t="0" r="0" b="2540"/>
                    <wp:docPr id="32" name="Group 32"/>
                    <wp:cNvGraphicFramePr/>
                    <a:graphic xmlns:a="http://schemas.openxmlformats.org/drawingml/2006/main">
                      <a:graphicData uri="http://schemas.microsoft.com/office/word/2010/wordprocessingGroup">
                        <wpg:wgp>
                          <wpg:cNvGrpSpPr/>
                          <wpg:grpSpPr>
                            <a:xfrm>
                              <a:off x="0" y="0"/>
                              <a:ext cx="403860" cy="168910"/>
                              <a:chOff x="0" y="0"/>
                              <a:chExt cx="403860" cy="168910"/>
                            </a:xfrm>
                          </wpg:grpSpPr>
                          <wps:wsp>
                            <wps:cNvPr id="33" name="Oval 9"/>
                            <wps:cNvSpPr>
                              <a:spLocks noChangeArrowheads="1"/>
                            </wps:cNvSpPr>
                            <wps:spPr bwMode="auto">
                              <a:xfrm>
                                <a:off x="0" y="0"/>
                                <a:ext cx="168910" cy="168910"/>
                              </a:xfrm>
                              <a:prstGeom prst="ellipse">
                                <a:avLst/>
                              </a:prstGeom>
                              <a:solidFill>
                                <a:srgbClr val="5E514D"/>
                              </a:solidFill>
                              <a:ln>
                                <a:noFill/>
                              </a:ln>
                            </wps:spPr>
                            <wps:bodyPr rot="0" vert="horz" wrap="square" lIns="91440" tIns="45720" rIns="91440" bIns="45720" anchor="t" anchorCtr="0" upright="1">
                              <a:noAutofit/>
                            </wps:bodyPr>
                          </wps:wsp>
                          <wps:wsp>
                            <wps:cNvPr id="34" name="Oval 10"/>
                            <wps:cNvSpPr>
                              <a:spLocks noChangeArrowheads="1"/>
                            </wps:cNvSpPr>
                            <wps:spPr bwMode="auto">
                              <a:xfrm>
                                <a:off x="234950" y="0"/>
                                <a:ext cx="168910" cy="16891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124CA7" id="Group 32" o:spid="_x0000_s1026" style="width:31.8pt;height:13.3pt;mso-position-horizontal-relative:char;mso-position-vertical-relative:line" coordsize="403860,1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">
                    <v:oval id="Oval 9" o:spid="_x0000_s1027" style="position:absolute;width:168910;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" fillcolor="#5e514d" stroked="f"/>
                    <v:oval id="Oval 10" o:spid="_x0000_s1028" style="position:absolute;left:234950;width:168910;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" fillcolor="#ffcd00 [3204]" stroked="f"/>
                    <w10:anchorlock/>
                  </v:group>
                </w:pict>
              </mc:Fallback>
            </mc:AlternateContent>
          </w:r>
        </w:p>
      </w:tc>
    </w:tr>
  </w:tbl>
  <w:p w14:paraId="4E0BE1CB" w14:textId="77777777" w:rsidR="001D55DD" w:rsidRDefault="001D55DD" w:rsidP="00361AB0">
    <w:pPr>
      <w:pStyle w:val="En-tte"/>
    </w:pPr>
  </w:p>
  <w:p w14:paraId="38E1FCAB" w14:textId="77777777" w:rsidR="001D55DD" w:rsidRDefault="001D55DD" w:rsidP="00361AB0">
    <w:pPr>
      <w:pStyle w:val="En-tte"/>
    </w:pPr>
  </w:p>
  <w:p w14:paraId="50A6F061" w14:textId="77777777" w:rsidR="001D55DD" w:rsidRDefault="001D55DD" w:rsidP="00361AB0">
    <w:pPr>
      <w:pStyle w:val="En-tte"/>
    </w:pPr>
  </w:p>
  <w:p w14:paraId="2F60A549" w14:textId="77777777" w:rsidR="001D55DD" w:rsidRDefault="001D55DD" w:rsidP="00361AB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4608"/>
    <w:multiLevelType w:val="multilevel"/>
    <w:tmpl w:val="E120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CC0A96"/>
    <w:multiLevelType w:val="multilevel"/>
    <w:tmpl w:val="9044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64CA2"/>
    <w:multiLevelType w:val="hybridMultilevel"/>
    <w:tmpl w:val="355450C4"/>
    <w:lvl w:ilvl="0" w:tplc="040C0001">
      <w:start w:val="1"/>
      <w:numFmt w:val="bullet"/>
      <w:lvlText w:val=""/>
      <w:lvlJc w:val="left"/>
      <w:pPr>
        <w:ind w:left="6" w:hanging="360"/>
      </w:pPr>
      <w:rPr>
        <w:rFonts w:ascii="Symbol" w:hAnsi="Symbol" w:hint="default"/>
      </w:rPr>
    </w:lvl>
    <w:lvl w:ilvl="1" w:tplc="040C0003" w:tentative="1">
      <w:start w:val="1"/>
      <w:numFmt w:val="bullet"/>
      <w:lvlText w:val="o"/>
      <w:lvlJc w:val="left"/>
      <w:pPr>
        <w:ind w:left="726" w:hanging="360"/>
      </w:pPr>
      <w:rPr>
        <w:rFonts w:ascii="Courier New" w:hAnsi="Courier New" w:cs="Courier New" w:hint="default"/>
      </w:rPr>
    </w:lvl>
    <w:lvl w:ilvl="2" w:tplc="040C0005" w:tentative="1">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3" w15:restartNumberingAfterBreak="0">
    <w:nsid w:val="0E4F18B9"/>
    <w:multiLevelType w:val="hybridMultilevel"/>
    <w:tmpl w:val="4A922BF0"/>
    <w:lvl w:ilvl="0" w:tplc="798C832E">
      <w:start w:val="1"/>
      <w:numFmt w:val="bullet"/>
      <w:lvlText w:val=""/>
      <w:lvlJc w:val="left"/>
      <w:pPr>
        <w:ind w:left="720" w:hanging="360"/>
      </w:pPr>
      <w:rPr>
        <w:rFonts w:ascii="Symbol" w:hAnsi="Symbol" w:hint="default"/>
        <w:color w:val="FFCD00"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D866EA"/>
    <w:multiLevelType w:val="multilevel"/>
    <w:tmpl w:val="2C54FA76"/>
    <w:lvl w:ilvl="0">
      <w:start w:val="1"/>
      <w:numFmt w:val="bullet"/>
      <w:lvlText w:val=""/>
      <w:lvlJc w:val="left"/>
      <w:pPr>
        <w:ind w:left="360" w:hanging="360"/>
      </w:pPr>
      <w:rPr>
        <w:rFonts w:ascii="Symbol" w:hAnsi="Symbol" w:hint="default"/>
        <w:color w:val="786E64" w:themeColor="accent2"/>
        <w:sz w:val="22"/>
      </w:rPr>
    </w:lvl>
    <w:lvl w:ilvl="1">
      <w:start w:val="3"/>
      <w:numFmt w:val="bullet"/>
      <w:lvlText w:val="-"/>
      <w:lvlJc w:val="left"/>
      <w:pPr>
        <w:ind w:left="720" w:hanging="360"/>
      </w:pPr>
      <w:rPr>
        <w:rFonts w:ascii="Times New Roman" w:eastAsia="Times New Roman" w:hAnsi="Times New Roman" w:cs="Times New Roman" w:hint="default"/>
      </w:rPr>
    </w:lvl>
    <w:lvl w:ilvl="2">
      <w:start w:val="1"/>
      <w:numFmt w:val="bullet"/>
      <w:lvlText w:val="l"/>
      <w:lvlJc w:val="left"/>
      <w:pPr>
        <w:ind w:left="1080" w:hanging="360"/>
      </w:pPr>
      <w:rPr>
        <w:rFonts w:ascii="Wingdings" w:hAnsi="Wingdings" w:hint="default"/>
        <w:color w:val="C5C7C8"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5C7242B"/>
    <w:multiLevelType w:val="multilevel"/>
    <w:tmpl w:val="74DECA50"/>
    <w:lvl w:ilvl="0">
      <w:start w:val="1"/>
      <w:numFmt w:val="bullet"/>
      <w:lvlText w:val=""/>
      <w:lvlJc w:val="left"/>
      <w:pPr>
        <w:ind w:left="360" w:hanging="360"/>
      </w:pPr>
      <w:rPr>
        <w:rFonts w:ascii="Symbol" w:hAnsi="Symbol" w:hint="default"/>
        <w:color w:val="786E64" w:themeColor="accent2"/>
        <w:sz w:val="22"/>
      </w:rPr>
    </w:lvl>
    <w:lvl w:ilvl="1">
      <w:start w:val="1"/>
      <w:numFmt w:val="bullet"/>
      <w:lvlText w:val=""/>
      <w:lvlJc w:val="left"/>
      <w:pPr>
        <w:ind w:left="720" w:hanging="360"/>
      </w:pPr>
      <w:rPr>
        <w:rFonts w:ascii="Wingdings" w:hAnsi="Wingdings" w:hint="default"/>
        <w:color w:val="FFCD00" w:themeColor="accent1"/>
      </w:rPr>
    </w:lvl>
    <w:lvl w:ilvl="2">
      <w:start w:val="1"/>
      <w:numFmt w:val="bullet"/>
      <w:lvlText w:val="l"/>
      <w:lvlJc w:val="left"/>
      <w:pPr>
        <w:ind w:left="1080" w:hanging="360"/>
      </w:pPr>
      <w:rPr>
        <w:rFonts w:ascii="Wingdings" w:hAnsi="Wingdings" w:hint="default"/>
        <w:color w:val="C5C7C8"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AE32C50"/>
    <w:multiLevelType w:val="hybridMultilevel"/>
    <w:tmpl w:val="61D0D532"/>
    <w:lvl w:ilvl="0" w:tplc="FFFFFFFF">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040C0003">
      <w:start w:val="1"/>
      <w:numFmt w:val="bullet"/>
      <w:lvlText w:val="o"/>
      <w:lvlJc w:val="left"/>
      <w:pPr>
        <w:ind w:left="2880" w:hanging="360"/>
      </w:pPr>
      <w:rPr>
        <w:rFonts w:ascii="Courier New" w:hAnsi="Courier New" w:cs="Courier New"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20A20E1C"/>
    <w:multiLevelType w:val="hybridMultilevel"/>
    <w:tmpl w:val="F2A8DF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8F2754"/>
    <w:multiLevelType w:val="multilevel"/>
    <w:tmpl w:val="E770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BB0E3A"/>
    <w:multiLevelType w:val="multilevel"/>
    <w:tmpl w:val="2FB47054"/>
    <w:lvl w:ilvl="0">
      <w:start w:val="1"/>
      <w:numFmt w:val="bullet"/>
      <w:pStyle w:val="Puce1"/>
      <w:lvlText w:val=""/>
      <w:lvlJc w:val="left"/>
      <w:pPr>
        <w:ind w:left="360" w:hanging="360"/>
      </w:pPr>
      <w:rPr>
        <w:rFonts w:ascii="Symbol" w:hAnsi="Symbol" w:hint="default"/>
        <w:color w:val="786E64" w:themeColor="accent2"/>
        <w:sz w:val="22"/>
      </w:rPr>
    </w:lvl>
    <w:lvl w:ilvl="1">
      <w:start w:val="1"/>
      <w:numFmt w:val="bullet"/>
      <w:pStyle w:val="Puce2"/>
      <w:lvlText w:val=""/>
      <w:lvlJc w:val="left"/>
      <w:pPr>
        <w:ind w:left="720" w:hanging="360"/>
      </w:pPr>
      <w:rPr>
        <w:rFonts w:ascii="Wingdings" w:hAnsi="Wingdings" w:hint="default"/>
        <w:color w:val="FFCD00" w:themeColor="accent1"/>
      </w:rPr>
    </w:lvl>
    <w:lvl w:ilvl="2">
      <w:start w:val="1"/>
      <w:numFmt w:val="bullet"/>
      <w:pStyle w:val="Puce3"/>
      <w:lvlText w:val="l"/>
      <w:lvlJc w:val="left"/>
      <w:pPr>
        <w:ind w:left="1080" w:hanging="360"/>
      </w:pPr>
      <w:rPr>
        <w:rFonts w:ascii="Wingdings" w:hAnsi="Wingdings" w:hint="default"/>
        <w:color w:val="C5C7C8"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EAB24E0"/>
    <w:multiLevelType w:val="multilevel"/>
    <w:tmpl w:val="86B8AA0E"/>
    <w:lvl w:ilvl="0">
      <w:start w:val="1"/>
      <w:numFmt w:val="decimal"/>
      <w:pStyle w:val="Titre1"/>
      <w:suff w:val="space"/>
      <w:lvlText w:val="%1."/>
      <w:lvlJc w:val="left"/>
      <w:pPr>
        <w:ind w:left="0" w:firstLine="0"/>
      </w:pPr>
      <w:rPr>
        <w:rFonts w:ascii="Impact" w:hAnsi="Impact" w:hint="default"/>
        <w:color w:val="FFCD00" w:themeColor="accent1"/>
        <w:sz w:val="36"/>
      </w:rPr>
    </w:lvl>
    <w:lvl w:ilvl="1">
      <w:start w:val="1"/>
      <w:numFmt w:val="decimal"/>
      <w:pStyle w:val="Titre2"/>
      <w:suff w:val="space"/>
      <w:lvlText w:val="%1.%2."/>
      <w:lvlJc w:val="left"/>
      <w:pPr>
        <w:ind w:left="0" w:firstLine="0"/>
      </w:pPr>
      <w:rPr>
        <w:rFonts w:ascii="Impact" w:hAnsi="Impact" w:hint="default"/>
        <w:color w:val="FFCD00" w:themeColor="accent1"/>
        <w:sz w:val="30"/>
      </w:rPr>
    </w:lvl>
    <w:lvl w:ilvl="2">
      <w:start w:val="1"/>
      <w:numFmt w:val="decimal"/>
      <w:pStyle w:val="Titre3"/>
      <w:suff w:val="space"/>
      <w:lvlText w:val="%1.%2.%3."/>
      <w:lvlJc w:val="left"/>
      <w:pPr>
        <w:ind w:left="0" w:firstLine="0"/>
      </w:pPr>
      <w:rPr>
        <w:rFonts w:ascii="Impact" w:hAnsi="Impact" w:hint="default"/>
        <w:color w:val="FFCD00" w:themeColor="accent1"/>
        <w:sz w:val="22"/>
      </w:rPr>
    </w:lvl>
    <w:lvl w:ilvl="3">
      <w:start w:val="1"/>
      <w:numFmt w:val="decimal"/>
      <w:suff w:val="space"/>
      <w:lvlText w:val="%1.%2.%3.%4."/>
      <w:lvlJc w:val="left"/>
      <w:pPr>
        <w:ind w:left="0" w:firstLine="0"/>
      </w:pPr>
      <w:rPr>
        <w:rFonts w:ascii="Impact" w:hAnsi="Impact" w:hint="default"/>
        <w:color w:val="FFCD00" w:themeColor="accent1"/>
        <w:sz w:val="22"/>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11" w15:restartNumberingAfterBreak="0">
    <w:nsid w:val="2EC90D7F"/>
    <w:multiLevelType w:val="multilevel"/>
    <w:tmpl w:val="F912B2C6"/>
    <w:lvl w:ilvl="0">
      <w:start w:val="1"/>
      <w:numFmt w:val="bullet"/>
      <w:lvlText w:val=""/>
      <w:lvlJc w:val="left"/>
      <w:pPr>
        <w:ind w:left="360" w:hanging="360"/>
      </w:pPr>
      <w:rPr>
        <w:rFonts w:ascii="Symbol" w:hAnsi="Symbol" w:hint="default"/>
        <w:color w:val="786E64" w:themeColor="accent2"/>
        <w:sz w:val="22"/>
      </w:rPr>
    </w:lvl>
    <w:lvl w:ilvl="1">
      <w:start w:val="1"/>
      <w:numFmt w:val="bullet"/>
      <w:lvlText w:val=""/>
      <w:lvlJc w:val="left"/>
      <w:pPr>
        <w:ind w:left="720" w:hanging="360"/>
      </w:pPr>
      <w:rPr>
        <w:rFonts w:ascii="Wingdings" w:hAnsi="Wingdings" w:hint="default"/>
        <w:color w:val="FFCD00" w:themeColor="accent1"/>
      </w:rPr>
    </w:lvl>
    <w:lvl w:ilvl="2">
      <w:start w:val="1"/>
      <w:numFmt w:val="bullet"/>
      <w:lvlText w:val="l"/>
      <w:lvlJc w:val="left"/>
      <w:pPr>
        <w:ind w:left="1080" w:hanging="360"/>
      </w:pPr>
      <w:rPr>
        <w:rFonts w:ascii="Wingdings" w:hAnsi="Wingdings" w:hint="default"/>
        <w:color w:val="C5C7C8"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3186F32"/>
    <w:multiLevelType w:val="hybridMultilevel"/>
    <w:tmpl w:val="4D0ACE26"/>
    <w:lvl w:ilvl="0" w:tplc="0FA8E134">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9B5300"/>
    <w:multiLevelType w:val="multilevel"/>
    <w:tmpl w:val="F95A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56288E"/>
    <w:multiLevelType w:val="hybridMultilevel"/>
    <w:tmpl w:val="E9BC91F8"/>
    <w:lvl w:ilvl="0" w:tplc="D0BC614A">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220DB6"/>
    <w:multiLevelType w:val="multilevel"/>
    <w:tmpl w:val="7B74B54A"/>
    <w:lvl w:ilvl="0">
      <w:start w:val="1"/>
      <w:numFmt w:val="bullet"/>
      <w:lvlText w:val=""/>
      <w:lvlJc w:val="left"/>
      <w:pPr>
        <w:ind w:left="360" w:hanging="360"/>
      </w:pPr>
      <w:rPr>
        <w:rFonts w:ascii="Symbol" w:hAnsi="Symbol" w:hint="default"/>
        <w:color w:val="786E64" w:themeColor="accent2"/>
        <w:sz w:val="22"/>
      </w:rPr>
    </w:lvl>
    <w:lvl w:ilvl="1">
      <w:start w:val="1"/>
      <w:numFmt w:val="bullet"/>
      <w:lvlText w:val=""/>
      <w:lvlJc w:val="left"/>
      <w:pPr>
        <w:ind w:left="720" w:hanging="360"/>
      </w:pPr>
      <w:rPr>
        <w:rFonts w:ascii="Wingdings" w:hAnsi="Wingdings" w:hint="default"/>
        <w:color w:val="FFCD00" w:themeColor="accent1"/>
      </w:rPr>
    </w:lvl>
    <w:lvl w:ilvl="2">
      <w:start w:val="1"/>
      <w:numFmt w:val="bullet"/>
      <w:lvlText w:val="l"/>
      <w:lvlJc w:val="left"/>
      <w:pPr>
        <w:ind w:left="1080" w:hanging="360"/>
      </w:pPr>
      <w:rPr>
        <w:rFonts w:ascii="Wingdings" w:hAnsi="Wingdings" w:hint="default"/>
        <w:color w:val="C5C7C8"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8C914BD"/>
    <w:multiLevelType w:val="hybridMultilevel"/>
    <w:tmpl w:val="A9F81754"/>
    <w:lvl w:ilvl="0" w:tplc="1B84D7EE">
      <w:start w:val="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E8424C"/>
    <w:multiLevelType w:val="hybridMultilevel"/>
    <w:tmpl w:val="78B4227C"/>
    <w:lvl w:ilvl="0" w:tplc="2FC886CA">
      <w:start w:val="1"/>
      <w:numFmt w:val="bullet"/>
      <w:lvlText w:val="-"/>
      <w:lvlJc w:val="left"/>
      <w:pPr>
        <w:ind w:left="720" w:hanging="360"/>
      </w:pPr>
      <w:rPr>
        <w:rFonts w:ascii="Arial" w:eastAsiaTheme="minorHAnsi"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9F7726"/>
    <w:multiLevelType w:val="multilevel"/>
    <w:tmpl w:val="64AC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DD3A0C"/>
    <w:multiLevelType w:val="hybridMultilevel"/>
    <w:tmpl w:val="2420257E"/>
    <w:lvl w:ilvl="0" w:tplc="8C32D998">
      <w:numFmt w:val="bullet"/>
      <w:lvlText w:val="•"/>
      <w:lvlJc w:val="left"/>
      <w:pPr>
        <w:ind w:left="1070" w:hanging="71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C029E4"/>
    <w:multiLevelType w:val="hybridMultilevel"/>
    <w:tmpl w:val="9A1EF3B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79743AE3"/>
    <w:multiLevelType w:val="hybridMultilevel"/>
    <w:tmpl w:val="7916CA8A"/>
    <w:lvl w:ilvl="0" w:tplc="1D382E7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72725638">
    <w:abstractNumId w:val="10"/>
  </w:num>
  <w:num w:numId="2" w16cid:durableId="123279234">
    <w:abstractNumId w:val="9"/>
  </w:num>
  <w:num w:numId="3" w16cid:durableId="958802793">
    <w:abstractNumId w:val="9"/>
  </w:num>
  <w:num w:numId="4" w16cid:durableId="695086617">
    <w:abstractNumId w:val="2"/>
  </w:num>
  <w:num w:numId="5" w16cid:durableId="1547176367">
    <w:abstractNumId w:val="5"/>
  </w:num>
  <w:num w:numId="6" w16cid:durableId="583760667">
    <w:abstractNumId w:val="11"/>
  </w:num>
  <w:num w:numId="7" w16cid:durableId="2061516804">
    <w:abstractNumId w:val="15"/>
  </w:num>
  <w:num w:numId="8" w16cid:durableId="562562101">
    <w:abstractNumId w:val="3"/>
  </w:num>
  <w:num w:numId="9" w16cid:durableId="280303746">
    <w:abstractNumId w:val="16"/>
  </w:num>
  <w:num w:numId="10" w16cid:durableId="983773339">
    <w:abstractNumId w:val="14"/>
  </w:num>
  <w:num w:numId="11" w16cid:durableId="2094737358">
    <w:abstractNumId w:val="19"/>
  </w:num>
  <w:num w:numId="12" w16cid:durableId="1680964206">
    <w:abstractNumId w:val="7"/>
  </w:num>
  <w:num w:numId="13" w16cid:durableId="1694767997">
    <w:abstractNumId w:val="8"/>
  </w:num>
  <w:num w:numId="14" w16cid:durableId="1030641946">
    <w:abstractNumId w:val="1"/>
  </w:num>
  <w:num w:numId="15" w16cid:durableId="1886941099">
    <w:abstractNumId w:val="13"/>
  </w:num>
  <w:num w:numId="16" w16cid:durableId="1361008247">
    <w:abstractNumId w:val="0"/>
  </w:num>
  <w:num w:numId="17" w16cid:durableId="1373577013">
    <w:abstractNumId w:val="18"/>
  </w:num>
  <w:num w:numId="18" w16cid:durableId="1014302521">
    <w:abstractNumId w:val="12"/>
  </w:num>
  <w:num w:numId="19" w16cid:durableId="577330949">
    <w:abstractNumId w:val="21"/>
  </w:num>
  <w:num w:numId="20" w16cid:durableId="1842046122">
    <w:abstractNumId w:val="4"/>
  </w:num>
  <w:num w:numId="21" w16cid:durableId="860556744">
    <w:abstractNumId w:val="20"/>
  </w:num>
  <w:num w:numId="22" w16cid:durableId="1031614788">
    <w:abstractNumId w:val="6"/>
  </w:num>
  <w:num w:numId="23" w16cid:durableId="113448671">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activeWritingStyle w:appName="MSWord" w:lang="fr-CA" w:vendorID="9" w:dllVersion="512" w:checkStyle="1"/>
  <w:attachedTemplate r:id="rId1"/>
  <w:stylePaneFormatFilter w:val="7E04" w:allStyles="0" w:customStyles="0" w:latentStyles="1" w:stylesInUse="0" w:headingStyles="0" w:numberingStyles="0" w:tableStyles="0" w:directFormattingOnRuns="0" w:directFormattingOnParagraphs="1" w:directFormattingOnNumbering="1" w:directFormattingOnTables="1" w:clearFormatting="1" w:top3HeadingStyles="1" w:visibleStyles="1" w:alternateStyleNames="0"/>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712"/>
    <w:rsid w:val="00002F68"/>
    <w:rsid w:val="000042F4"/>
    <w:rsid w:val="00004737"/>
    <w:rsid w:val="00012707"/>
    <w:rsid w:val="00016C59"/>
    <w:rsid w:val="00016E56"/>
    <w:rsid w:val="00017E5F"/>
    <w:rsid w:val="000205C8"/>
    <w:rsid w:val="00020881"/>
    <w:rsid w:val="00021374"/>
    <w:rsid w:val="00021A39"/>
    <w:rsid w:val="00022060"/>
    <w:rsid w:val="000221C2"/>
    <w:rsid w:val="00023AC6"/>
    <w:rsid w:val="00023E94"/>
    <w:rsid w:val="00025783"/>
    <w:rsid w:val="000317FC"/>
    <w:rsid w:val="000334BE"/>
    <w:rsid w:val="00033DBC"/>
    <w:rsid w:val="00034299"/>
    <w:rsid w:val="00034668"/>
    <w:rsid w:val="00034B28"/>
    <w:rsid w:val="00035AD2"/>
    <w:rsid w:val="00035C4A"/>
    <w:rsid w:val="00036CD1"/>
    <w:rsid w:val="00037E4D"/>
    <w:rsid w:val="00040316"/>
    <w:rsid w:val="00042284"/>
    <w:rsid w:val="00042F30"/>
    <w:rsid w:val="00043EBC"/>
    <w:rsid w:val="00044184"/>
    <w:rsid w:val="000441EF"/>
    <w:rsid w:val="00044AF7"/>
    <w:rsid w:val="00044D2B"/>
    <w:rsid w:val="00046E3D"/>
    <w:rsid w:val="00046FFC"/>
    <w:rsid w:val="000478C6"/>
    <w:rsid w:val="000508A4"/>
    <w:rsid w:val="00050AD9"/>
    <w:rsid w:val="00051323"/>
    <w:rsid w:val="0005205D"/>
    <w:rsid w:val="0005341B"/>
    <w:rsid w:val="00053D32"/>
    <w:rsid w:val="00053E0D"/>
    <w:rsid w:val="00054A47"/>
    <w:rsid w:val="000550F4"/>
    <w:rsid w:val="000562A8"/>
    <w:rsid w:val="00056922"/>
    <w:rsid w:val="0006012B"/>
    <w:rsid w:val="000633E9"/>
    <w:rsid w:val="00063542"/>
    <w:rsid w:val="00064AF9"/>
    <w:rsid w:val="00065A94"/>
    <w:rsid w:val="00067E2B"/>
    <w:rsid w:val="0007107A"/>
    <w:rsid w:val="000719EE"/>
    <w:rsid w:val="0007284C"/>
    <w:rsid w:val="000758F3"/>
    <w:rsid w:val="00075932"/>
    <w:rsid w:val="000759DC"/>
    <w:rsid w:val="00075C1D"/>
    <w:rsid w:val="000778C7"/>
    <w:rsid w:val="00080436"/>
    <w:rsid w:val="00083A0D"/>
    <w:rsid w:val="00084685"/>
    <w:rsid w:val="00084DB9"/>
    <w:rsid w:val="00084F58"/>
    <w:rsid w:val="0008642A"/>
    <w:rsid w:val="00091851"/>
    <w:rsid w:val="00091A4A"/>
    <w:rsid w:val="00091D71"/>
    <w:rsid w:val="00092305"/>
    <w:rsid w:val="00094713"/>
    <w:rsid w:val="00096317"/>
    <w:rsid w:val="00096DA7"/>
    <w:rsid w:val="000A2D2B"/>
    <w:rsid w:val="000A3032"/>
    <w:rsid w:val="000A33D0"/>
    <w:rsid w:val="000A386A"/>
    <w:rsid w:val="000A4494"/>
    <w:rsid w:val="000A52D1"/>
    <w:rsid w:val="000B488D"/>
    <w:rsid w:val="000B6842"/>
    <w:rsid w:val="000B7F0F"/>
    <w:rsid w:val="000C1A45"/>
    <w:rsid w:val="000C204E"/>
    <w:rsid w:val="000C5517"/>
    <w:rsid w:val="000C5C6E"/>
    <w:rsid w:val="000C6383"/>
    <w:rsid w:val="000C641B"/>
    <w:rsid w:val="000C7769"/>
    <w:rsid w:val="000C7EE9"/>
    <w:rsid w:val="000C7F18"/>
    <w:rsid w:val="000D0648"/>
    <w:rsid w:val="000D068F"/>
    <w:rsid w:val="000D2445"/>
    <w:rsid w:val="000D43E2"/>
    <w:rsid w:val="000D4C00"/>
    <w:rsid w:val="000D6FA5"/>
    <w:rsid w:val="000D7DDD"/>
    <w:rsid w:val="000E038C"/>
    <w:rsid w:val="000E1A42"/>
    <w:rsid w:val="000E1CBD"/>
    <w:rsid w:val="000E5087"/>
    <w:rsid w:val="000E5DC6"/>
    <w:rsid w:val="000E659B"/>
    <w:rsid w:val="000E7CBA"/>
    <w:rsid w:val="000F1565"/>
    <w:rsid w:val="000F3557"/>
    <w:rsid w:val="000F38DD"/>
    <w:rsid w:val="000F5CFE"/>
    <w:rsid w:val="000F6DFB"/>
    <w:rsid w:val="000F7054"/>
    <w:rsid w:val="000F7FED"/>
    <w:rsid w:val="001003F6"/>
    <w:rsid w:val="00100AF3"/>
    <w:rsid w:val="0010179D"/>
    <w:rsid w:val="00101859"/>
    <w:rsid w:val="0010329C"/>
    <w:rsid w:val="00103739"/>
    <w:rsid w:val="00106F92"/>
    <w:rsid w:val="00107706"/>
    <w:rsid w:val="00110768"/>
    <w:rsid w:val="00111373"/>
    <w:rsid w:val="00111863"/>
    <w:rsid w:val="0011204F"/>
    <w:rsid w:val="00112188"/>
    <w:rsid w:val="001128EB"/>
    <w:rsid w:val="00114DFF"/>
    <w:rsid w:val="0011500A"/>
    <w:rsid w:val="001167E5"/>
    <w:rsid w:val="0011708C"/>
    <w:rsid w:val="00117CA4"/>
    <w:rsid w:val="00120F00"/>
    <w:rsid w:val="001217E8"/>
    <w:rsid w:val="001229CC"/>
    <w:rsid w:val="00122A62"/>
    <w:rsid w:val="00122C71"/>
    <w:rsid w:val="00123493"/>
    <w:rsid w:val="001248C4"/>
    <w:rsid w:val="0012624B"/>
    <w:rsid w:val="0012625C"/>
    <w:rsid w:val="001276ED"/>
    <w:rsid w:val="001307BF"/>
    <w:rsid w:val="001326EC"/>
    <w:rsid w:val="00133498"/>
    <w:rsid w:val="00133D0B"/>
    <w:rsid w:val="00133E49"/>
    <w:rsid w:val="001347CD"/>
    <w:rsid w:val="00135166"/>
    <w:rsid w:val="00135D0F"/>
    <w:rsid w:val="00136A5A"/>
    <w:rsid w:val="0013716F"/>
    <w:rsid w:val="0014054F"/>
    <w:rsid w:val="00140617"/>
    <w:rsid w:val="00140DEB"/>
    <w:rsid w:val="00141392"/>
    <w:rsid w:val="00141840"/>
    <w:rsid w:val="001431A5"/>
    <w:rsid w:val="00144F73"/>
    <w:rsid w:val="00144FCC"/>
    <w:rsid w:val="0014719D"/>
    <w:rsid w:val="00150478"/>
    <w:rsid w:val="0015178D"/>
    <w:rsid w:val="001518F6"/>
    <w:rsid w:val="00152734"/>
    <w:rsid w:val="00152935"/>
    <w:rsid w:val="001546E2"/>
    <w:rsid w:val="001574FD"/>
    <w:rsid w:val="00157515"/>
    <w:rsid w:val="00157F72"/>
    <w:rsid w:val="001601EA"/>
    <w:rsid w:val="001605E0"/>
    <w:rsid w:val="001611C6"/>
    <w:rsid w:val="001613D2"/>
    <w:rsid w:val="00162805"/>
    <w:rsid w:val="00166B55"/>
    <w:rsid w:val="001704ED"/>
    <w:rsid w:val="001714EB"/>
    <w:rsid w:val="001719EB"/>
    <w:rsid w:val="00175375"/>
    <w:rsid w:val="001771DE"/>
    <w:rsid w:val="00183975"/>
    <w:rsid w:val="0018550A"/>
    <w:rsid w:val="00185ABE"/>
    <w:rsid w:val="0018699E"/>
    <w:rsid w:val="001937BC"/>
    <w:rsid w:val="001946BD"/>
    <w:rsid w:val="0019475B"/>
    <w:rsid w:val="001953F6"/>
    <w:rsid w:val="00196522"/>
    <w:rsid w:val="00196A3A"/>
    <w:rsid w:val="00196DED"/>
    <w:rsid w:val="0019726C"/>
    <w:rsid w:val="001A1306"/>
    <w:rsid w:val="001A17B9"/>
    <w:rsid w:val="001A1F6E"/>
    <w:rsid w:val="001A3EC2"/>
    <w:rsid w:val="001A3FEE"/>
    <w:rsid w:val="001A6A0F"/>
    <w:rsid w:val="001A7D2F"/>
    <w:rsid w:val="001B0050"/>
    <w:rsid w:val="001B0A5B"/>
    <w:rsid w:val="001B2615"/>
    <w:rsid w:val="001B4395"/>
    <w:rsid w:val="001B5A33"/>
    <w:rsid w:val="001C06F8"/>
    <w:rsid w:val="001C1109"/>
    <w:rsid w:val="001C151F"/>
    <w:rsid w:val="001C159C"/>
    <w:rsid w:val="001C1743"/>
    <w:rsid w:val="001C175A"/>
    <w:rsid w:val="001C24E6"/>
    <w:rsid w:val="001C2B6B"/>
    <w:rsid w:val="001C5A63"/>
    <w:rsid w:val="001C606A"/>
    <w:rsid w:val="001D0F6F"/>
    <w:rsid w:val="001D28A0"/>
    <w:rsid w:val="001D2DA5"/>
    <w:rsid w:val="001D55DD"/>
    <w:rsid w:val="001D64D0"/>
    <w:rsid w:val="001D6977"/>
    <w:rsid w:val="001D69E4"/>
    <w:rsid w:val="001D72CC"/>
    <w:rsid w:val="001D7A80"/>
    <w:rsid w:val="001E12EF"/>
    <w:rsid w:val="001E312D"/>
    <w:rsid w:val="001E33D0"/>
    <w:rsid w:val="001E40C2"/>
    <w:rsid w:val="001E4D83"/>
    <w:rsid w:val="001E64CD"/>
    <w:rsid w:val="001E7E5A"/>
    <w:rsid w:val="001F005A"/>
    <w:rsid w:val="001F11D9"/>
    <w:rsid w:val="001F1795"/>
    <w:rsid w:val="001F1A6F"/>
    <w:rsid w:val="001F2205"/>
    <w:rsid w:val="001F52E8"/>
    <w:rsid w:val="001F6737"/>
    <w:rsid w:val="001F720D"/>
    <w:rsid w:val="001F7839"/>
    <w:rsid w:val="001F7A15"/>
    <w:rsid w:val="00200D0D"/>
    <w:rsid w:val="00202BA7"/>
    <w:rsid w:val="00202F68"/>
    <w:rsid w:val="00205AF6"/>
    <w:rsid w:val="002068A1"/>
    <w:rsid w:val="0020726C"/>
    <w:rsid w:val="0021036B"/>
    <w:rsid w:val="002107A4"/>
    <w:rsid w:val="002117E4"/>
    <w:rsid w:val="00212A6E"/>
    <w:rsid w:val="00213122"/>
    <w:rsid w:val="002131DB"/>
    <w:rsid w:val="00214F8C"/>
    <w:rsid w:val="0022171B"/>
    <w:rsid w:val="00221D01"/>
    <w:rsid w:val="00221DA6"/>
    <w:rsid w:val="00222551"/>
    <w:rsid w:val="0022289A"/>
    <w:rsid w:val="00222DF9"/>
    <w:rsid w:val="002232FC"/>
    <w:rsid w:val="00225402"/>
    <w:rsid w:val="00225505"/>
    <w:rsid w:val="00226668"/>
    <w:rsid w:val="00226DB5"/>
    <w:rsid w:val="00226F50"/>
    <w:rsid w:val="00227B15"/>
    <w:rsid w:val="0023191D"/>
    <w:rsid w:val="002325F2"/>
    <w:rsid w:val="00232BB5"/>
    <w:rsid w:val="00233628"/>
    <w:rsid w:val="00233744"/>
    <w:rsid w:val="002344EE"/>
    <w:rsid w:val="002360CE"/>
    <w:rsid w:val="00241B51"/>
    <w:rsid w:val="002431F4"/>
    <w:rsid w:val="00243D99"/>
    <w:rsid w:val="0024452A"/>
    <w:rsid w:val="00245488"/>
    <w:rsid w:val="00247B14"/>
    <w:rsid w:val="00250951"/>
    <w:rsid w:val="00250C79"/>
    <w:rsid w:val="00250FE5"/>
    <w:rsid w:val="002513ED"/>
    <w:rsid w:val="00251F94"/>
    <w:rsid w:val="00252475"/>
    <w:rsid w:val="002573DE"/>
    <w:rsid w:val="00257754"/>
    <w:rsid w:val="00257BC6"/>
    <w:rsid w:val="00257E41"/>
    <w:rsid w:val="00260375"/>
    <w:rsid w:val="00260723"/>
    <w:rsid w:val="002612E5"/>
    <w:rsid w:val="002614CF"/>
    <w:rsid w:val="00261F4B"/>
    <w:rsid w:val="002634D6"/>
    <w:rsid w:val="002634D7"/>
    <w:rsid w:val="00263580"/>
    <w:rsid w:val="002636B0"/>
    <w:rsid w:val="00263D81"/>
    <w:rsid w:val="00265AA8"/>
    <w:rsid w:val="002665AE"/>
    <w:rsid w:val="002672AE"/>
    <w:rsid w:val="00271315"/>
    <w:rsid w:val="002717FF"/>
    <w:rsid w:val="002718CF"/>
    <w:rsid w:val="002718E7"/>
    <w:rsid w:val="00272980"/>
    <w:rsid w:val="00273CD5"/>
    <w:rsid w:val="00275F50"/>
    <w:rsid w:val="00276A13"/>
    <w:rsid w:val="00276DD8"/>
    <w:rsid w:val="00281D7E"/>
    <w:rsid w:val="0028237C"/>
    <w:rsid w:val="00283337"/>
    <w:rsid w:val="00283347"/>
    <w:rsid w:val="002848B5"/>
    <w:rsid w:val="00284B4F"/>
    <w:rsid w:val="00286823"/>
    <w:rsid w:val="00286F6F"/>
    <w:rsid w:val="002905C4"/>
    <w:rsid w:val="00293E53"/>
    <w:rsid w:val="00294E3A"/>
    <w:rsid w:val="00295AD8"/>
    <w:rsid w:val="00295D40"/>
    <w:rsid w:val="00296A80"/>
    <w:rsid w:val="002973CC"/>
    <w:rsid w:val="002A0300"/>
    <w:rsid w:val="002A1395"/>
    <w:rsid w:val="002A2330"/>
    <w:rsid w:val="002A2F59"/>
    <w:rsid w:val="002A3B0D"/>
    <w:rsid w:val="002A5112"/>
    <w:rsid w:val="002A56A9"/>
    <w:rsid w:val="002A61F2"/>
    <w:rsid w:val="002A6750"/>
    <w:rsid w:val="002B0644"/>
    <w:rsid w:val="002B072C"/>
    <w:rsid w:val="002B31B6"/>
    <w:rsid w:val="002B34B8"/>
    <w:rsid w:val="002B4667"/>
    <w:rsid w:val="002B4D30"/>
    <w:rsid w:val="002B4EE3"/>
    <w:rsid w:val="002B653A"/>
    <w:rsid w:val="002B6576"/>
    <w:rsid w:val="002B794C"/>
    <w:rsid w:val="002B7BBE"/>
    <w:rsid w:val="002C06CC"/>
    <w:rsid w:val="002C2EF8"/>
    <w:rsid w:val="002C3770"/>
    <w:rsid w:val="002C3EA7"/>
    <w:rsid w:val="002C48F5"/>
    <w:rsid w:val="002C4C61"/>
    <w:rsid w:val="002C5643"/>
    <w:rsid w:val="002C5657"/>
    <w:rsid w:val="002C5E62"/>
    <w:rsid w:val="002C6F17"/>
    <w:rsid w:val="002C72ED"/>
    <w:rsid w:val="002D1722"/>
    <w:rsid w:val="002D1E58"/>
    <w:rsid w:val="002D486C"/>
    <w:rsid w:val="002D542F"/>
    <w:rsid w:val="002D60AF"/>
    <w:rsid w:val="002D7CD7"/>
    <w:rsid w:val="002E03E4"/>
    <w:rsid w:val="002E0B57"/>
    <w:rsid w:val="002E15FC"/>
    <w:rsid w:val="002E178A"/>
    <w:rsid w:val="002E2DB9"/>
    <w:rsid w:val="002E39E8"/>
    <w:rsid w:val="002E3BD3"/>
    <w:rsid w:val="002E3E0A"/>
    <w:rsid w:val="002E43FB"/>
    <w:rsid w:val="002E54EA"/>
    <w:rsid w:val="002E6395"/>
    <w:rsid w:val="002E6B49"/>
    <w:rsid w:val="002E7EC6"/>
    <w:rsid w:val="002F19F0"/>
    <w:rsid w:val="002F244D"/>
    <w:rsid w:val="002F50FD"/>
    <w:rsid w:val="002F5170"/>
    <w:rsid w:val="002F591B"/>
    <w:rsid w:val="002F5D97"/>
    <w:rsid w:val="002F6959"/>
    <w:rsid w:val="002F69B4"/>
    <w:rsid w:val="002F6F03"/>
    <w:rsid w:val="002F7522"/>
    <w:rsid w:val="00300232"/>
    <w:rsid w:val="00300479"/>
    <w:rsid w:val="00302C28"/>
    <w:rsid w:val="003053D3"/>
    <w:rsid w:val="0030559C"/>
    <w:rsid w:val="00306121"/>
    <w:rsid w:val="00306564"/>
    <w:rsid w:val="003069CF"/>
    <w:rsid w:val="00310D60"/>
    <w:rsid w:val="00311B8B"/>
    <w:rsid w:val="00314B34"/>
    <w:rsid w:val="0031597D"/>
    <w:rsid w:val="0031702F"/>
    <w:rsid w:val="0031785A"/>
    <w:rsid w:val="00320DC0"/>
    <w:rsid w:val="00320ED5"/>
    <w:rsid w:val="00322362"/>
    <w:rsid w:val="00323383"/>
    <w:rsid w:val="00324759"/>
    <w:rsid w:val="00324F42"/>
    <w:rsid w:val="003255E2"/>
    <w:rsid w:val="00326BA2"/>
    <w:rsid w:val="00327F60"/>
    <w:rsid w:val="0033232D"/>
    <w:rsid w:val="003347FD"/>
    <w:rsid w:val="00334DF3"/>
    <w:rsid w:val="003352A5"/>
    <w:rsid w:val="00336644"/>
    <w:rsid w:val="00336A3A"/>
    <w:rsid w:val="00337A8A"/>
    <w:rsid w:val="00342A70"/>
    <w:rsid w:val="003430E4"/>
    <w:rsid w:val="00343934"/>
    <w:rsid w:val="0034394A"/>
    <w:rsid w:val="003439DC"/>
    <w:rsid w:val="0034489F"/>
    <w:rsid w:val="0034517D"/>
    <w:rsid w:val="00345405"/>
    <w:rsid w:val="003537E4"/>
    <w:rsid w:val="00353E4A"/>
    <w:rsid w:val="00354183"/>
    <w:rsid w:val="00354184"/>
    <w:rsid w:val="00354DF8"/>
    <w:rsid w:val="0035618A"/>
    <w:rsid w:val="00356637"/>
    <w:rsid w:val="00356DBA"/>
    <w:rsid w:val="00357C8C"/>
    <w:rsid w:val="00357DA7"/>
    <w:rsid w:val="00361222"/>
    <w:rsid w:val="00361A81"/>
    <w:rsid w:val="00361AB0"/>
    <w:rsid w:val="00362621"/>
    <w:rsid w:val="00362B99"/>
    <w:rsid w:val="00362F08"/>
    <w:rsid w:val="00363063"/>
    <w:rsid w:val="00364971"/>
    <w:rsid w:val="003651C9"/>
    <w:rsid w:val="00370E10"/>
    <w:rsid w:val="0037100B"/>
    <w:rsid w:val="0037168B"/>
    <w:rsid w:val="00374CEA"/>
    <w:rsid w:val="00375254"/>
    <w:rsid w:val="00377DA4"/>
    <w:rsid w:val="003808C7"/>
    <w:rsid w:val="0038228D"/>
    <w:rsid w:val="00383BE1"/>
    <w:rsid w:val="00385562"/>
    <w:rsid w:val="0039219E"/>
    <w:rsid w:val="00394A5C"/>
    <w:rsid w:val="00394AAF"/>
    <w:rsid w:val="003A0EF2"/>
    <w:rsid w:val="003A3694"/>
    <w:rsid w:val="003A4245"/>
    <w:rsid w:val="003A6451"/>
    <w:rsid w:val="003A6A13"/>
    <w:rsid w:val="003A70AC"/>
    <w:rsid w:val="003B0150"/>
    <w:rsid w:val="003B2EEE"/>
    <w:rsid w:val="003B44FA"/>
    <w:rsid w:val="003B4DE6"/>
    <w:rsid w:val="003B55F5"/>
    <w:rsid w:val="003B64B9"/>
    <w:rsid w:val="003B68CC"/>
    <w:rsid w:val="003B6E88"/>
    <w:rsid w:val="003B7308"/>
    <w:rsid w:val="003B7ADB"/>
    <w:rsid w:val="003C036C"/>
    <w:rsid w:val="003C16EE"/>
    <w:rsid w:val="003C174B"/>
    <w:rsid w:val="003C1CF7"/>
    <w:rsid w:val="003C3687"/>
    <w:rsid w:val="003C5AAF"/>
    <w:rsid w:val="003C7749"/>
    <w:rsid w:val="003D2523"/>
    <w:rsid w:val="003D2886"/>
    <w:rsid w:val="003D4BE7"/>
    <w:rsid w:val="003D4E1A"/>
    <w:rsid w:val="003D5662"/>
    <w:rsid w:val="003E1664"/>
    <w:rsid w:val="003E21A0"/>
    <w:rsid w:val="003E2663"/>
    <w:rsid w:val="003E3487"/>
    <w:rsid w:val="003E3BE2"/>
    <w:rsid w:val="003E4675"/>
    <w:rsid w:val="003E6606"/>
    <w:rsid w:val="003E67B7"/>
    <w:rsid w:val="003F1456"/>
    <w:rsid w:val="003F2800"/>
    <w:rsid w:val="003F2C61"/>
    <w:rsid w:val="003F2EBC"/>
    <w:rsid w:val="003F6520"/>
    <w:rsid w:val="003F79F7"/>
    <w:rsid w:val="0040009C"/>
    <w:rsid w:val="0040020D"/>
    <w:rsid w:val="00401644"/>
    <w:rsid w:val="00402B43"/>
    <w:rsid w:val="004032EC"/>
    <w:rsid w:val="00404720"/>
    <w:rsid w:val="00404EA9"/>
    <w:rsid w:val="004053B0"/>
    <w:rsid w:val="00406F34"/>
    <w:rsid w:val="0041000E"/>
    <w:rsid w:val="00411465"/>
    <w:rsid w:val="00412309"/>
    <w:rsid w:val="00413D40"/>
    <w:rsid w:val="004166BD"/>
    <w:rsid w:val="00416A8E"/>
    <w:rsid w:val="00417B23"/>
    <w:rsid w:val="0042009E"/>
    <w:rsid w:val="004201B0"/>
    <w:rsid w:val="00420ED7"/>
    <w:rsid w:val="00424450"/>
    <w:rsid w:val="00425A5F"/>
    <w:rsid w:val="00433BA4"/>
    <w:rsid w:val="00433C52"/>
    <w:rsid w:val="0043412B"/>
    <w:rsid w:val="0043521B"/>
    <w:rsid w:val="00435570"/>
    <w:rsid w:val="0043674E"/>
    <w:rsid w:val="004421D4"/>
    <w:rsid w:val="0044278C"/>
    <w:rsid w:val="00442924"/>
    <w:rsid w:val="0044466C"/>
    <w:rsid w:val="00445BF6"/>
    <w:rsid w:val="004464B4"/>
    <w:rsid w:val="00447056"/>
    <w:rsid w:val="00454B78"/>
    <w:rsid w:val="00455297"/>
    <w:rsid w:val="00455AD0"/>
    <w:rsid w:val="00456480"/>
    <w:rsid w:val="00457BA2"/>
    <w:rsid w:val="00457EBC"/>
    <w:rsid w:val="00460CD4"/>
    <w:rsid w:val="00460DC7"/>
    <w:rsid w:val="00460F53"/>
    <w:rsid w:val="00462475"/>
    <w:rsid w:val="00462D31"/>
    <w:rsid w:val="0046360C"/>
    <w:rsid w:val="0046402A"/>
    <w:rsid w:val="004646A5"/>
    <w:rsid w:val="00464C7E"/>
    <w:rsid w:val="00464E69"/>
    <w:rsid w:val="004650B1"/>
    <w:rsid w:val="00465B5C"/>
    <w:rsid w:val="00467B94"/>
    <w:rsid w:val="00472F13"/>
    <w:rsid w:val="00476636"/>
    <w:rsid w:val="00477F9E"/>
    <w:rsid w:val="00481BDD"/>
    <w:rsid w:val="004834D5"/>
    <w:rsid w:val="00483760"/>
    <w:rsid w:val="00483792"/>
    <w:rsid w:val="00483E37"/>
    <w:rsid w:val="00484DEB"/>
    <w:rsid w:val="00485DEC"/>
    <w:rsid w:val="00486662"/>
    <w:rsid w:val="004878BA"/>
    <w:rsid w:val="00490B73"/>
    <w:rsid w:val="004960FC"/>
    <w:rsid w:val="004961B2"/>
    <w:rsid w:val="00496B41"/>
    <w:rsid w:val="00496E6A"/>
    <w:rsid w:val="00497B95"/>
    <w:rsid w:val="00497DFB"/>
    <w:rsid w:val="004A09DD"/>
    <w:rsid w:val="004A0E7A"/>
    <w:rsid w:val="004A2320"/>
    <w:rsid w:val="004A2858"/>
    <w:rsid w:val="004A30B0"/>
    <w:rsid w:val="004A3522"/>
    <w:rsid w:val="004A4F1E"/>
    <w:rsid w:val="004A50CB"/>
    <w:rsid w:val="004A5A61"/>
    <w:rsid w:val="004A6D72"/>
    <w:rsid w:val="004A6DA5"/>
    <w:rsid w:val="004B192C"/>
    <w:rsid w:val="004B3515"/>
    <w:rsid w:val="004B46B5"/>
    <w:rsid w:val="004B4BDC"/>
    <w:rsid w:val="004B505B"/>
    <w:rsid w:val="004B55B3"/>
    <w:rsid w:val="004B5B6D"/>
    <w:rsid w:val="004B65D8"/>
    <w:rsid w:val="004B73EB"/>
    <w:rsid w:val="004C07E6"/>
    <w:rsid w:val="004C0D47"/>
    <w:rsid w:val="004C2AAA"/>
    <w:rsid w:val="004C5AB5"/>
    <w:rsid w:val="004C7011"/>
    <w:rsid w:val="004C7120"/>
    <w:rsid w:val="004C7CC1"/>
    <w:rsid w:val="004C7E31"/>
    <w:rsid w:val="004D205A"/>
    <w:rsid w:val="004D2598"/>
    <w:rsid w:val="004D28E8"/>
    <w:rsid w:val="004D3185"/>
    <w:rsid w:val="004D35EB"/>
    <w:rsid w:val="004D36D0"/>
    <w:rsid w:val="004D52F4"/>
    <w:rsid w:val="004E0019"/>
    <w:rsid w:val="004E175B"/>
    <w:rsid w:val="004E2E0E"/>
    <w:rsid w:val="004E41F4"/>
    <w:rsid w:val="004E4850"/>
    <w:rsid w:val="004E6025"/>
    <w:rsid w:val="004E6A38"/>
    <w:rsid w:val="004E6ED3"/>
    <w:rsid w:val="004F23F0"/>
    <w:rsid w:val="004F3541"/>
    <w:rsid w:val="004F48AB"/>
    <w:rsid w:val="004F57D0"/>
    <w:rsid w:val="004F7209"/>
    <w:rsid w:val="0050113B"/>
    <w:rsid w:val="00501558"/>
    <w:rsid w:val="00501673"/>
    <w:rsid w:val="00505642"/>
    <w:rsid w:val="00505BBB"/>
    <w:rsid w:val="0051129B"/>
    <w:rsid w:val="005127D3"/>
    <w:rsid w:val="00513072"/>
    <w:rsid w:val="005141EB"/>
    <w:rsid w:val="00514324"/>
    <w:rsid w:val="005159DA"/>
    <w:rsid w:val="005174AE"/>
    <w:rsid w:val="0051789E"/>
    <w:rsid w:val="00520C3A"/>
    <w:rsid w:val="00522636"/>
    <w:rsid w:val="005237F3"/>
    <w:rsid w:val="00524346"/>
    <w:rsid w:val="005245EC"/>
    <w:rsid w:val="005249CC"/>
    <w:rsid w:val="00525DB8"/>
    <w:rsid w:val="005301BE"/>
    <w:rsid w:val="005309B1"/>
    <w:rsid w:val="00531E94"/>
    <w:rsid w:val="00535029"/>
    <w:rsid w:val="005360CE"/>
    <w:rsid w:val="005373B0"/>
    <w:rsid w:val="00537CFD"/>
    <w:rsid w:val="00540331"/>
    <w:rsid w:val="005404EF"/>
    <w:rsid w:val="00541AAB"/>
    <w:rsid w:val="00542399"/>
    <w:rsid w:val="00542548"/>
    <w:rsid w:val="00543590"/>
    <w:rsid w:val="00544063"/>
    <w:rsid w:val="005445A2"/>
    <w:rsid w:val="0054536A"/>
    <w:rsid w:val="0054547A"/>
    <w:rsid w:val="005474A1"/>
    <w:rsid w:val="0055048B"/>
    <w:rsid w:val="005527AC"/>
    <w:rsid w:val="00552B17"/>
    <w:rsid w:val="00553D6C"/>
    <w:rsid w:val="0055480F"/>
    <w:rsid w:val="0055626A"/>
    <w:rsid w:val="0055697C"/>
    <w:rsid w:val="0056025B"/>
    <w:rsid w:val="0056062F"/>
    <w:rsid w:val="00562404"/>
    <w:rsid w:val="00562506"/>
    <w:rsid w:val="00562533"/>
    <w:rsid w:val="005646B9"/>
    <w:rsid w:val="005657D9"/>
    <w:rsid w:val="00567704"/>
    <w:rsid w:val="00573B70"/>
    <w:rsid w:val="00573CB0"/>
    <w:rsid w:val="00574161"/>
    <w:rsid w:val="005742A9"/>
    <w:rsid w:val="00574906"/>
    <w:rsid w:val="00574A93"/>
    <w:rsid w:val="00574CD8"/>
    <w:rsid w:val="00574DA2"/>
    <w:rsid w:val="00576A66"/>
    <w:rsid w:val="0057748B"/>
    <w:rsid w:val="00577803"/>
    <w:rsid w:val="00577EF6"/>
    <w:rsid w:val="005802CA"/>
    <w:rsid w:val="005809E4"/>
    <w:rsid w:val="0058148F"/>
    <w:rsid w:val="00582B2A"/>
    <w:rsid w:val="00582C0C"/>
    <w:rsid w:val="0058432D"/>
    <w:rsid w:val="00584BAD"/>
    <w:rsid w:val="00584D9F"/>
    <w:rsid w:val="005850B8"/>
    <w:rsid w:val="00585F76"/>
    <w:rsid w:val="0058649B"/>
    <w:rsid w:val="00586618"/>
    <w:rsid w:val="0058723A"/>
    <w:rsid w:val="005873C3"/>
    <w:rsid w:val="00590B83"/>
    <w:rsid w:val="005945A8"/>
    <w:rsid w:val="005950D5"/>
    <w:rsid w:val="005951E9"/>
    <w:rsid w:val="00597370"/>
    <w:rsid w:val="005979E7"/>
    <w:rsid w:val="00597BCD"/>
    <w:rsid w:val="00597C0B"/>
    <w:rsid w:val="005A004F"/>
    <w:rsid w:val="005A1BFA"/>
    <w:rsid w:val="005A1F55"/>
    <w:rsid w:val="005A1F70"/>
    <w:rsid w:val="005A4A1C"/>
    <w:rsid w:val="005A5AF5"/>
    <w:rsid w:val="005A6BAD"/>
    <w:rsid w:val="005A78C2"/>
    <w:rsid w:val="005A7C18"/>
    <w:rsid w:val="005B0435"/>
    <w:rsid w:val="005B3A66"/>
    <w:rsid w:val="005B3D99"/>
    <w:rsid w:val="005B3E06"/>
    <w:rsid w:val="005B4A50"/>
    <w:rsid w:val="005B5ABC"/>
    <w:rsid w:val="005B71CB"/>
    <w:rsid w:val="005B76AC"/>
    <w:rsid w:val="005B7F92"/>
    <w:rsid w:val="005C0F6F"/>
    <w:rsid w:val="005C1780"/>
    <w:rsid w:val="005C1835"/>
    <w:rsid w:val="005C3B87"/>
    <w:rsid w:val="005C3EDA"/>
    <w:rsid w:val="005C4BEC"/>
    <w:rsid w:val="005C529D"/>
    <w:rsid w:val="005C54B6"/>
    <w:rsid w:val="005C57C4"/>
    <w:rsid w:val="005C7BE6"/>
    <w:rsid w:val="005D07C7"/>
    <w:rsid w:val="005D1BBA"/>
    <w:rsid w:val="005D21DC"/>
    <w:rsid w:val="005D2291"/>
    <w:rsid w:val="005D2D04"/>
    <w:rsid w:val="005D5AC7"/>
    <w:rsid w:val="005D6CF0"/>
    <w:rsid w:val="005D730C"/>
    <w:rsid w:val="005D7965"/>
    <w:rsid w:val="005E0BC3"/>
    <w:rsid w:val="005E0F8E"/>
    <w:rsid w:val="005E21C2"/>
    <w:rsid w:val="005E25F7"/>
    <w:rsid w:val="005E2E2A"/>
    <w:rsid w:val="005E3BFD"/>
    <w:rsid w:val="005E5571"/>
    <w:rsid w:val="005E6802"/>
    <w:rsid w:val="005F12C3"/>
    <w:rsid w:val="005F2765"/>
    <w:rsid w:val="005F4C61"/>
    <w:rsid w:val="005F56FF"/>
    <w:rsid w:val="005F6E2B"/>
    <w:rsid w:val="005F79BA"/>
    <w:rsid w:val="005F7BD8"/>
    <w:rsid w:val="006008CD"/>
    <w:rsid w:val="00600AB6"/>
    <w:rsid w:val="006013CE"/>
    <w:rsid w:val="00601573"/>
    <w:rsid w:val="00601918"/>
    <w:rsid w:val="006027BC"/>
    <w:rsid w:val="00602932"/>
    <w:rsid w:val="00602B9A"/>
    <w:rsid w:val="006040B4"/>
    <w:rsid w:val="00604296"/>
    <w:rsid w:val="00606147"/>
    <w:rsid w:val="00610C52"/>
    <w:rsid w:val="006113C1"/>
    <w:rsid w:val="006114E3"/>
    <w:rsid w:val="00613974"/>
    <w:rsid w:val="00613F03"/>
    <w:rsid w:val="006149BB"/>
    <w:rsid w:val="00615346"/>
    <w:rsid w:val="00615DC9"/>
    <w:rsid w:val="00616C5D"/>
    <w:rsid w:val="00616DB8"/>
    <w:rsid w:val="00616FB6"/>
    <w:rsid w:val="00620FC5"/>
    <w:rsid w:val="006227EE"/>
    <w:rsid w:val="006248E9"/>
    <w:rsid w:val="0062663E"/>
    <w:rsid w:val="00626937"/>
    <w:rsid w:val="00627D3A"/>
    <w:rsid w:val="00627DFF"/>
    <w:rsid w:val="006305EE"/>
    <w:rsid w:val="006315B0"/>
    <w:rsid w:val="00631B45"/>
    <w:rsid w:val="006322E6"/>
    <w:rsid w:val="00632C24"/>
    <w:rsid w:val="00634547"/>
    <w:rsid w:val="006362CD"/>
    <w:rsid w:val="006362EA"/>
    <w:rsid w:val="0063652C"/>
    <w:rsid w:val="00636F41"/>
    <w:rsid w:val="00637588"/>
    <w:rsid w:val="006406CC"/>
    <w:rsid w:val="00640F75"/>
    <w:rsid w:val="006423DA"/>
    <w:rsid w:val="00642761"/>
    <w:rsid w:val="00642DD3"/>
    <w:rsid w:val="00643238"/>
    <w:rsid w:val="006455ED"/>
    <w:rsid w:val="00645644"/>
    <w:rsid w:val="00645A5E"/>
    <w:rsid w:val="006470D5"/>
    <w:rsid w:val="006472BA"/>
    <w:rsid w:val="00652030"/>
    <w:rsid w:val="00652757"/>
    <w:rsid w:val="00652984"/>
    <w:rsid w:val="00652A61"/>
    <w:rsid w:val="00656307"/>
    <w:rsid w:val="00660321"/>
    <w:rsid w:val="0066088C"/>
    <w:rsid w:val="00661508"/>
    <w:rsid w:val="006624FE"/>
    <w:rsid w:val="00664F2D"/>
    <w:rsid w:val="00665FD4"/>
    <w:rsid w:val="00667A8B"/>
    <w:rsid w:val="00667C82"/>
    <w:rsid w:val="00673208"/>
    <w:rsid w:val="00673F05"/>
    <w:rsid w:val="00674378"/>
    <w:rsid w:val="00674EC5"/>
    <w:rsid w:val="00676CF9"/>
    <w:rsid w:val="00677757"/>
    <w:rsid w:val="00680E81"/>
    <w:rsid w:val="006823DC"/>
    <w:rsid w:val="00682EEB"/>
    <w:rsid w:val="0068587F"/>
    <w:rsid w:val="0068611D"/>
    <w:rsid w:val="00687595"/>
    <w:rsid w:val="00687C8E"/>
    <w:rsid w:val="00690AC6"/>
    <w:rsid w:val="00690BC7"/>
    <w:rsid w:val="0069267D"/>
    <w:rsid w:val="0069667F"/>
    <w:rsid w:val="00697A2D"/>
    <w:rsid w:val="00697AAB"/>
    <w:rsid w:val="00697BC5"/>
    <w:rsid w:val="006A0480"/>
    <w:rsid w:val="006A3FC2"/>
    <w:rsid w:val="006A6D0C"/>
    <w:rsid w:val="006A791D"/>
    <w:rsid w:val="006A7C91"/>
    <w:rsid w:val="006B2545"/>
    <w:rsid w:val="006B5CD3"/>
    <w:rsid w:val="006B7A8F"/>
    <w:rsid w:val="006C0217"/>
    <w:rsid w:val="006C1EA5"/>
    <w:rsid w:val="006C26D5"/>
    <w:rsid w:val="006C3F6A"/>
    <w:rsid w:val="006C4BCE"/>
    <w:rsid w:val="006C54D3"/>
    <w:rsid w:val="006C5611"/>
    <w:rsid w:val="006D0895"/>
    <w:rsid w:val="006D0995"/>
    <w:rsid w:val="006D394A"/>
    <w:rsid w:val="006D3E0F"/>
    <w:rsid w:val="006D5B75"/>
    <w:rsid w:val="006D6058"/>
    <w:rsid w:val="006D7B7F"/>
    <w:rsid w:val="006E0268"/>
    <w:rsid w:val="006E09C5"/>
    <w:rsid w:val="006E0F84"/>
    <w:rsid w:val="006E1215"/>
    <w:rsid w:val="006E43C3"/>
    <w:rsid w:val="006E4F17"/>
    <w:rsid w:val="006E5AE6"/>
    <w:rsid w:val="006E6384"/>
    <w:rsid w:val="006E75F2"/>
    <w:rsid w:val="006F15CB"/>
    <w:rsid w:val="006F1A07"/>
    <w:rsid w:val="006F1ABC"/>
    <w:rsid w:val="006F1D39"/>
    <w:rsid w:val="006F261A"/>
    <w:rsid w:val="006F298B"/>
    <w:rsid w:val="006F2D00"/>
    <w:rsid w:val="006F3072"/>
    <w:rsid w:val="006F3CBE"/>
    <w:rsid w:val="006F4429"/>
    <w:rsid w:val="006F49F7"/>
    <w:rsid w:val="006F5006"/>
    <w:rsid w:val="0070053F"/>
    <w:rsid w:val="007006A0"/>
    <w:rsid w:val="007006DE"/>
    <w:rsid w:val="00700BEA"/>
    <w:rsid w:val="007013FC"/>
    <w:rsid w:val="00701925"/>
    <w:rsid w:val="00703262"/>
    <w:rsid w:val="00703A82"/>
    <w:rsid w:val="00703E8F"/>
    <w:rsid w:val="007051CF"/>
    <w:rsid w:val="00705350"/>
    <w:rsid w:val="00705974"/>
    <w:rsid w:val="00707018"/>
    <w:rsid w:val="007075C7"/>
    <w:rsid w:val="0071263A"/>
    <w:rsid w:val="007303A6"/>
    <w:rsid w:val="00730810"/>
    <w:rsid w:val="00731A92"/>
    <w:rsid w:val="00732C30"/>
    <w:rsid w:val="007339F9"/>
    <w:rsid w:val="007344D9"/>
    <w:rsid w:val="00734BC3"/>
    <w:rsid w:val="00736A5E"/>
    <w:rsid w:val="00737011"/>
    <w:rsid w:val="00737514"/>
    <w:rsid w:val="00737D46"/>
    <w:rsid w:val="0074038B"/>
    <w:rsid w:val="0074076F"/>
    <w:rsid w:val="00741650"/>
    <w:rsid w:val="0074248B"/>
    <w:rsid w:val="00742F96"/>
    <w:rsid w:val="0074357F"/>
    <w:rsid w:val="00744B47"/>
    <w:rsid w:val="0074707B"/>
    <w:rsid w:val="00750900"/>
    <w:rsid w:val="007572C0"/>
    <w:rsid w:val="007611D6"/>
    <w:rsid w:val="007625D7"/>
    <w:rsid w:val="0076281F"/>
    <w:rsid w:val="007633EB"/>
    <w:rsid w:val="00764324"/>
    <w:rsid w:val="007649CC"/>
    <w:rsid w:val="007668CA"/>
    <w:rsid w:val="00767520"/>
    <w:rsid w:val="00767A35"/>
    <w:rsid w:val="0077249E"/>
    <w:rsid w:val="007727D1"/>
    <w:rsid w:val="00775523"/>
    <w:rsid w:val="00775692"/>
    <w:rsid w:val="00782C65"/>
    <w:rsid w:val="00783102"/>
    <w:rsid w:val="007834E5"/>
    <w:rsid w:val="007839F1"/>
    <w:rsid w:val="00784714"/>
    <w:rsid w:val="00784857"/>
    <w:rsid w:val="00785151"/>
    <w:rsid w:val="007860A5"/>
    <w:rsid w:val="007862C9"/>
    <w:rsid w:val="007914C2"/>
    <w:rsid w:val="007915B4"/>
    <w:rsid w:val="00792C86"/>
    <w:rsid w:val="00792FFA"/>
    <w:rsid w:val="007932C0"/>
    <w:rsid w:val="0079384E"/>
    <w:rsid w:val="007952EB"/>
    <w:rsid w:val="007959DF"/>
    <w:rsid w:val="00797508"/>
    <w:rsid w:val="00797C9F"/>
    <w:rsid w:val="007A00ED"/>
    <w:rsid w:val="007A0BED"/>
    <w:rsid w:val="007A0C50"/>
    <w:rsid w:val="007A1424"/>
    <w:rsid w:val="007A1ED7"/>
    <w:rsid w:val="007A20ED"/>
    <w:rsid w:val="007A3B2B"/>
    <w:rsid w:val="007A49AF"/>
    <w:rsid w:val="007A55FD"/>
    <w:rsid w:val="007A5812"/>
    <w:rsid w:val="007A6FD8"/>
    <w:rsid w:val="007A797F"/>
    <w:rsid w:val="007A7D93"/>
    <w:rsid w:val="007B0429"/>
    <w:rsid w:val="007B0858"/>
    <w:rsid w:val="007B0F3D"/>
    <w:rsid w:val="007B16C5"/>
    <w:rsid w:val="007B1C33"/>
    <w:rsid w:val="007B25E3"/>
    <w:rsid w:val="007B2A5D"/>
    <w:rsid w:val="007B37C2"/>
    <w:rsid w:val="007B410D"/>
    <w:rsid w:val="007B4233"/>
    <w:rsid w:val="007B467E"/>
    <w:rsid w:val="007B4E4C"/>
    <w:rsid w:val="007B5A03"/>
    <w:rsid w:val="007B5EB9"/>
    <w:rsid w:val="007C1918"/>
    <w:rsid w:val="007C31BF"/>
    <w:rsid w:val="007C4044"/>
    <w:rsid w:val="007C5323"/>
    <w:rsid w:val="007C556B"/>
    <w:rsid w:val="007C6145"/>
    <w:rsid w:val="007C72ED"/>
    <w:rsid w:val="007C763D"/>
    <w:rsid w:val="007C7951"/>
    <w:rsid w:val="007D053C"/>
    <w:rsid w:val="007D1021"/>
    <w:rsid w:val="007D13CC"/>
    <w:rsid w:val="007D2D02"/>
    <w:rsid w:val="007D339E"/>
    <w:rsid w:val="007E0069"/>
    <w:rsid w:val="007E0783"/>
    <w:rsid w:val="007E0CB6"/>
    <w:rsid w:val="007E209E"/>
    <w:rsid w:val="007E24D2"/>
    <w:rsid w:val="007E2BCB"/>
    <w:rsid w:val="007E41A0"/>
    <w:rsid w:val="007E4C97"/>
    <w:rsid w:val="007E58BE"/>
    <w:rsid w:val="007E6E9C"/>
    <w:rsid w:val="007F04E2"/>
    <w:rsid w:val="007F2CFF"/>
    <w:rsid w:val="007F525D"/>
    <w:rsid w:val="007F5D15"/>
    <w:rsid w:val="007F5D6B"/>
    <w:rsid w:val="007F6238"/>
    <w:rsid w:val="00800A5A"/>
    <w:rsid w:val="00801B7D"/>
    <w:rsid w:val="00801C04"/>
    <w:rsid w:val="00804B5B"/>
    <w:rsid w:val="00805B96"/>
    <w:rsid w:val="00805C2E"/>
    <w:rsid w:val="00805C6D"/>
    <w:rsid w:val="0080660E"/>
    <w:rsid w:val="008072D8"/>
    <w:rsid w:val="00807B67"/>
    <w:rsid w:val="00810177"/>
    <w:rsid w:val="0081028D"/>
    <w:rsid w:val="00811252"/>
    <w:rsid w:val="008141BC"/>
    <w:rsid w:val="008147A1"/>
    <w:rsid w:val="0081483F"/>
    <w:rsid w:val="008158F3"/>
    <w:rsid w:val="00816DE2"/>
    <w:rsid w:val="00816F64"/>
    <w:rsid w:val="00817CD2"/>
    <w:rsid w:val="008206AD"/>
    <w:rsid w:val="0082308E"/>
    <w:rsid w:val="008240A5"/>
    <w:rsid w:val="00825EC1"/>
    <w:rsid w:val="0082657B"/>
    <w:rsid w:val="0082794C"/>
    <w:rsid w:val="0083034D"/>
    <w:rsid w:val="00830543"/>
    <w:rsid w:val="0083111B"/>
    <w:rsid w:val="008324F4"/>
    <w:rsid w:val="00832CDD"/>
    <w:rsid w:val="008355EE"/>
    <w:rsid w:val="0083690F"/>
    <w:rsid w:val="008370E9"/>
    <w:rsid w:val="008437D5"/>
    <w:rsid w:val="0084449C"/>
    <w:rsid w:val="008448DE"/>
    <w:rsid w:val="0085132C"/>
    <w:rsid w:val="00851A2A"/>
    <w:rsid w:val="008522FD"/>
    <w:rsid w:val="0085389B"/>
    <w:rsid w:val="00854916"/>
    <w:rsid w:val="0085575B"/>
    <w:rsid w:val="00855B12"/>
    <w:rsid w:val="00856B39"/>
    <w:rsid w:val="00856BBF"/>
    <w:rsid w:val="00856D61"/>
    <w:rsid w:val="00857738"/>
    <w:rsid w:val="00860E0A"/>
    <w:rsid w:val="00861059"/>
    <w:rsid w:val="00862AA1"/>
    <w:rsid w:val="00862D01"/>
    <w:rsid w:val="0086396A"/>
    <w:rsid w:val="00866C60"/>
    <w:rsid w:val="0087035C"/>
    <w:rsid w:val="008711C9"/>
    <w:rsid w:val="0087263B"/>
    <w:rsid w:val="00872D1B"/>
    <w:rsid w:val="0087599C"/>
    <w:rsid w:val="0087617B"/>
    <w:rsid w:val="00876D34"/>
    <w:rsid w:val="00877F9A"/>
    <w:rsid w:val="0088068E"/>
    <w:rsid w:val="008816DD"/>
    <w:rsid w:val="008829C3"/>
    <w:rsid w:val="00884834"/>
    <w:rsid w:val="008858BB"/>
    <w:rsid w:val="00886378"/>
    <w:rsid w:val="0088679A"/>
    <w:rsid w:val="0089095B"/>
    <w:rsid w:val="00891499"/>
    <w:rsid w:val="00891A9E"/>
    <w:rsid w:val="00892441"/>
    <w:rsid w:val="008928A1"/>
    <w:rsid w:val="00892952"/>
    <w:rsid w:val="00893444"/>
    <w:rsid w:val="008936E8"/>
    <w:rsid w:val="008937DC"/>
    <w:rsid w:val="00893F3C"/>
    <w:rsid w:val="00894EB7"/>
    <w:rsid w:val="00895BBB"/>
    <w:rsid w:val="0089672D"/>
    <w:rsid w:val="008A1228"/>
    <w:rsid w:val="008A2A80"/>
    <w:rsid w:val="008A31E2"/>
    <w:rsid w:val="008A39B2"/>
    <w:rsid w:val="008A638E"/>
    <w:rsid w:val="008A639F"/>
    <w:rsid w:val="008A75CC"/>
    <w:rsid w:val="008A7CA5"/>
    <w:rsid w:val="008B0668"/>
    <w:rsid w:val="008B3D38"/>
    <w:rsid w:val="008B424C"/>
    <w:rsid w:val="008B4B4F"/>
    <w:rsid w:val="008B585C"/>
    <w:rsid w:val="008B586D"/>
    <w:rsid w:val="008B5F5E"/>
    <w:rsid w:val="008B64EB"/>
    <w:rsid w:val="008B6BF3"/>
    <w:rsid w:val="008C0891"/>
    <w:rsid w:val="008C0D54"/>
    <w:rsid w:val="008C0E3B"/>
    <w:rsid w:val="008C14E9"/>
    <w:rsid w:val="008C17B7"/>
    <w:rsid w:val="008C330D"/>
    <w:rsid w:val="008C4025"/>
    <w:rsid w:val="008C43C3"/>
    <w:rsid w:val="008C5456"/>
    <w:rsid w:val="008C722E"/>
    <w:rsid w:val="008D09E4"/>
    <w:rsid w:val="008D2ADF"/>
    <w:rsid w:val="008D432C"/>
    <w:rsid w:val="008D435A"/>
    <w:rsid w:val="008D4462"/>
    <w:rsid w:val="008D468C"/>
    <w:rsid w:val="008D4712"/>
    <w:rsid w:val="008D5A9B"/>
    <w:rsid w:val="008E0114"/>
    <w:rsid w:val="008E0F7F"/>
    <w:rsid w:val="008E20F1"/>
    <w:rsid w:val="008E28EF"/>
    <w:rsid w:val="008E2A90"/>
    <w:rsid w:val="008E308E"/>
    <w:rsid w:val="008E3776"/>
    <w:rsid w:val="008E3EF1"/>
    <w:rsid w:val="008E45C6"/>
    <w:rsid w:val="008E4C04"/>
    <w:rsid w:val="008E57A9"/>
    <w:rsid w:val="008E5BD5"/>
    <w:rsid w:val="008E7D5D"/>
    <w:rsid w:val="008F070A"/>
    <w:rsid w:val="008F0AE4"/>
    <w:rsid w:val="008F47AB"/>
    <w:rsid w:val="00900B72"/>
    <w:rsid w:val="00901B7F"/>
    <w:rsid w:val="009027AB"/>
    <w:rsid w:val="009050C0"/>
    <w:rsid w:val="00905822"/>
    <w:rsid w:val="00905ADB"/>
    <w:rsid w:val="00906090"/>
    <w:rsid w:val="00906799"/>
    <w:rsid w:val="00910CD3"/>
    <w:rsid w:val="00912086"/>
    <w:rsid w:val="00913A83"/>
    <w:rsid w:val="00913DEB"/>
    <w:rsid w:val="00914348"/>
    <w:rsid w:val="00914D84"/>
    <w:rsid w:val="00914D9A"/>
    <w:rsid w:val="00920752"/>
    <w:rsid w:val="00920FD1"/>
    <w:rsid w:val="00921182"/>
    <w:rsid w:val="00923010"/>
    <w:rsid w:val="00924CE2"/>
    <w:rsid w:val="00925D59"/>
    <w:rsid w:val="0092664A"/>
    <w:rsid w:val="0092672D"/>
    <w:rsid w:val="0092713F"/>
    <w:rsid w:val="009328B1"/>
    <w:rsid w:val="009356BB"/>
    <w:rsid w:val="00935EF5"/>
    <w:rsid w:val="00936145"/>
    <w:rsid w:val="00937348"/>
    <w:rsid w:val="00943250"/>
    <w:rsid w:val="00943426"/>
    <w:rsid w:val="00947040"/>
    <w:rsid w:val="0095378F"/>
    <w:rsid w:val="00953CD7"/>
    <w:rsid w:val="00954D6E"/>
    <w:rsid w:val="0095549D"/>
    <w:rsid w:val="00957D35"/>
    <w:rsid w:val="009608F9"/>
    <w:rsid w:val="0096159F"/>
    <w:rsid w:val="009630EE"/>
    <w:rsid w:val="009640DC"/>
    <w:rsid w:val="0096458B"/>
    <w:rsid w:val="0096473E"/>
    <w:rsid w:val="00964D75"/>
    <w:rsid w:val="00965B48"/>
    <w:rsid w:val="0096784E"/>
    <w:rsid w:val="009679CA"/>
    <w:rsid w:val="00967CB9"/>
    <w:rsid w:val="00970099"/>
    <w:rsid w:val="00971CBD"/>
    <w:rsid w:val="009730A4"/>
    <w:rsid w:val="009739A9"/>
    <w:rsid w:val="00974730"/>
    <w:rsid w:val="0097634E"/>
    <w:rsid w:val="00976F91"/>
    <w:rsid w:val="00980024"/>
    <w:rsid w:val="00981F60"/>
    <w:rsid w:val="00983D8E"/>
    <w:rsid w:val="009846A0"/>
    <w:rsid w:val="0098477F"/>
    <w:rsid w:val="009856EC"/>
    <w:rsid w:val="00986594"/>
    <w:rsid w:val="009870A6"/>
    <w:rsid w:val="00987AB7"/>
    <w:rsid w:val="00987D94"/>
    <w:rsid w:val="009920C5"/>
    <w:rsid w:val="009925B7"/>
    <w:rsid w:val="009953DB"/>
    <w:rsid w:val="00996154"/>
    <w:rsid w:val="00996E76"/>
    <w:rsid w:val="009971F9"/>
    <w:rsid w:val="00997EB3"/>
    <w:rsid w:val="009A0117"/>
    <w:rsid w:val="009A0AFC"/>
    <w:rsid w:val="009A0FBC"/>
    <w:rsid w:val="009A28A0"/>
    <w:rsid w:val="009A2C94"/>
    <w:rsid w:val="009A45D2"/>
    <w:rsid w:val="009A533A"/>
    <w:rsid w:val="009A7AD7"/>
    <w:rsid w:val="009B251C"/>
    <w:rsid w:val="009B5CCB"/>
    <w:rsid w:val="009B61A8"/>
    <w:rsid w:val="009B7B11"/>
    <w:rsid w:val="009C0702"/>
    <w:rsid w:val="009C0F83"/>
    <w:rsid w:val="009C247D"/>
    <w:rsid w:val="009C2D99"/>
    <w:rsid w:val="009C2ECF"/>
    <w:rsid w:val="009C4F5B"/>
    <w:rsid w:val="009C5D4F"/>
    <w:rsid w:val="009C6D6B"/>
    <w:rsid w:val="009C6F61"/>
    <w:rsid w:val="009C7858"/>
    <w:rsid w:val="009D0E1E"/>
    <w:rsid w:val="009D1E13"/>
    <w:rsid w:val="009D2141"/>
    <w:rsid w:val="009D24B2"/>
    <w:rsid w:val="009D29FF"/>
    <w:rsid w:val="009D47AD"/>
    <w:rsid w:val="009D5CBD"/>
    <w:rsid w:val="009D6418"/>
    <w:rsid w:val="009D7D8B"/>
    <w:rsid w:val="009E0068"/>
    <w:rsid w:val="009E0D78"/>
    <w:rsid w:val="009E1217"/>
    <w:rsid w:val="009E2D1E"/>
    <w:rsid w:val="009E2E54"/>
    <w:rsid w:val="009E378A"/>
    <w:rsid w:val="009E621F"/>
    <w:rsid w:val="009E68E9"/>
    <w:rsid w:val="009E7BA5"/>
    <w:rsid w:val="009F0955"/>
    <w:rsid w:val="009F0CF1"/>
    <w:rsid w:val="009F1985"/>
    <w:rsid w:val="009F3151"/>
    <w:rsid w:val="009F31A7"/>
    <w:rsid w:val="009F6360"/>
    <w:rsid w:val="009F6B82"/>
    <w:rsid w:val="009F702D"/>
    <w:rsid w:val="009F7119"/>
    <w:rsid w:val="009F7468"/>
    <w:rsid w:val="009F7D2C"/>
    <w:rsid w:val="00A00B37"/>
    <w:rsid w:val="00A01A70"/>
    <w:rsid w:val="00A031F5"/>
    <w:rsid w:val="00A042CA"/>
    <w:rsid w:val="00A06077"/>
    <w:rsid w:val="00A06578"/>
    <w:rsid w:val="00A069EE"/>
    <w:rsid w:val="00A06FC7"/>
    <w:rsid w:val="00A1083B"/>
    <w:rsid w:val="00A10D4B"/>
    <w:rsid w:val="00A1161F"/>
    <w:rsid w:val="00A117DE"/>
    <w:rsid w:val="00A1341C"/>
    <w:rsid w:val="00A136C2"/>
    <w:rsid w:val="00A143CA"/>
    <w:rsid w:val="00A158F6"/>
    <w:rsid w:val="00A1658B"/>
    <w:rsid w:val="00A16C47"/>
    <w:rsid w:val="00A17F9C"/>
    <w:rsid w:val="00A20E98"/>
    <w:rsid w:val="00A21B68"/>
    <w:rsid w:val="00A22F7E"/>
    <w:rsid w:val="00A2379D"/>
    <w:rsid w:val="00A2451F"/>
    <w:rsid w:val="00A256E5"/>
    <w:rsid w:val="00A277E9"/>
    <w:rsid w:val="00A27DC0"/>
    <w:rsid w:val="00A30039"/>
    <w:rsid w:val="00A30E52"/>
    <w:rsid w:val="00A3344D"/>
    <w:rsid w:val="00A3348E"/>
    <w:rsid w:val="00A34E6C"/>
    <w:rsid w:val="00A37447"/>
    <w:rsid w:val="00A407D0"/>
    <w:rsid w:val="00A421F0"/>
    <w:rsid w:val="00A42623"/>
    <w:rsid w:val="00A42AB5"/>
    <w:rsid w:val="00A4407E"/>
    <w:rsid w:val="00A45BE3"/>
    <w:rsid w:val="00A46C5C"/>
    <w:rsid w:val="00A46F48"/>
    <w:rsid w:val="00A47D5D"/>
    <w:rsid w:val="00A53940"/>
    <w:rsid w:val="00A56991"/>
    <w:rsid w:val="00A56C4B"/>
    <w:rsid w:val="00A608AA"/>
    <w:rsid w:val="00A61BF7"/>
    <w:rsid w:val="00A61D98"/>
    <w:rsid w:val="00A631D2"/>
    <w:rsid w:val="00A65903"/>
    <w:rsid w:val="00A67218"/>
    <w:rsid w:val="00A67D16"/>
    <w:rsid w:val="00A71BCC"/>
    <w:rsid w:val="00A71F66"/>
    <w:rsid w:val="00A73660"/>
    <w:rsid w:val="00A73D8F"/>
    <w:rsid w:val="00A776B6"/>
    <w:rsid w:val="00A8096B"/>
    <w:rsid w:val="00A81177"/>
    <w:rsid w:val="00A829D8"/>
    <w:rsid w:val="00A82AC8"/>
    <w:rsid w:val="00A82FCD"/>
    <w:rsid w:val="00A85197"/>
    <w:rsid w:val="00A8560C"/>
    <w:rsid w:val="00A85734"/>
    <w:rsid w:val="00A8602C"/>
    <w:rsid w:val="00A90C25"/>
    <w:rsid w:val="00A95169"/>
    <w:rsid w:val="00A96941"/>
    <w:rsid w:val="00A96ACF"/>
    <w:rsid w:val="00A96AF7"/>
    <w:rsid w:val="00A96FE3"/>
    <w:rsid w:val="00A974AB"/>
    <w:rsid w:val="00AA0CCD"/>
    <w:rsid w:val="00AA0D75"/>
    <w:rsid w:val="00AA15D8"/>
    <w:rsid w:val="00AA207B"/>
    <w:rsid w:val="00AA2538"/>
    <w:rsid w:val="00AA2DD7"/>
    <w:rsid w:val="00AA2E48"/>
    <w:rsid w:val="00AA3090"/>
    <w:rsid w:val="00AA5CC8"/>
    <w:rsid w:val="00AA5D24"/>
    <w:rsid w:val="00AA61BF"/>
    <w:rsid w:val="00AA76D4"/>
    <w:rsid w:val="00AB0622"/>
    <w:rsid w:val="00AB0FA5"/>
    <w:rsid w:val="00AB121D"/>
    <w:rsid w:val="00AB2128"/>
    <w:rsid w:val="00AB32D7"/>
    <w:rsid w:val="00AB4285"/>
    <w:rsid w:val="00AB472C"/>
    <w:rsid w:val="00AB4D05"/>
    <w:rsid w:val="00AB5C3D"/>
    <w:rsid w:val="00AB5F53"/>
    <w:rsid w:val="00AC0D66"/>
    <w:rsid w:val="00AC0FAF"/>
    <w:rsid w:val="00AC189A"/>
    <w:rsid w:val="00AC244C"/>
    <w:rsid w:val="00AC24D4"/>
    <w:rsid w:val="00AC2A7D"/>
    <w:rsid w:val="00AC5366"/>
    <w:rsid w:val="00AC5562"/>
    <w:rsid w:val="00AC56DD"/>
    <w:rsid w:val="00AC5C2A"/>
    <w:rsid w:val="00AC626C"/>
    <w:rsid w:val="00AC7777"/>
    <w:rsid w:val="00AD0F6C"/>
    <w:rsid w:val="00AD159F"/>
    <w:rsid w:val="00AD1711"/>
    <w:rsid w:val="00AD1F8C"/>
    <w:rsid w:val="00AD7B45"/>
    <w:rsid w:val="00AE0831"/>
    <w:rsid w:val="00AE182A"/>
    <w:rsid w:val="00AE2751"/>
    <w:rsid w:val="00AE42CB"/>
    <w:rsid w:val="00AE439D"/>
    <w:rsid w:val="00AE53D4"/>
    <w:rsid w:val="00AE5717"/>
    <w:rsid w:val="00AF0B9D"/>
    <w:rsid w:val="00AF2FC6"/>
    <w:rsid w:val="00AF3B5C"/>
    <w:rsid w:val="00AF5B36"/>
    <w:rsid w:val="00B002D1"/>
    <w:rsid w:val="00B00B78"/>
    <w:rsid w:val="00B0289C"/>
    <w:rsid w:val="00B029FB"/>
    <w:rsid w:val="00B04AC1"/>
    <w:rsid w:val="00B06481"/>
    <w:rsid w:val="00B07E21"/>
    <w:rsid w:val="00B107B0"/>
    <w:rsid w:val="00B128F6"/>
    <w:rsid w:val="00B12D9D"/>
    <w:rsid w:val="00B13144"/>
    <w:rsid w:val="00B13D41"/>
    <w:rsid w:val="00B13D7A"/>
    <w:rsid w:val="00B156F1"/>
    <w:rsid w:val="00B1659C"/>
    <w:rsid w:val="00B222DE"/>
    <w:rsid w:val="00B22B66"/>
    <w:rsid w:val="00B22C2E"/>
    <w:rsid w:val="00B2578D"/>
    <w:rsid w:val="00B26119"/>
    <w:rsid w:val="00B26B38"/>
    <w:rsid w:val="00B27C6A"/>
    <w:rsid w:val="00B3093F"/>
    <w:rsid w:val="00B30E18"/>
    <w:rsid w:val="00B316C9"/>
    <w:rsid w:val="00B31826"/>
    <w:rsid w:val="00B32208"/>
    <w:rsid w:val="00B336CF"/>
    <w:rsid w:val="00B33BFF"/>
    <w:rsid w:val="00B34871"/>
    <w:rsid w:val="00B35677"/>
    <w:rsid w:val="00B36AE6"/>
    <w:rsid w:val="00B36DF0"/>
    <w:rsid w:val="00B4423A"/>
    <w:rsid w:val="00B44CD4"/>
    <w:rsid w:val="00B47725"/>
    <w:rsid w:val="00B50D18"/>
    <w:rsid w:val="00B50E0B"/>
    <w:rsid w:val="00B51082"/>
    <w:rsid w:val="00B52DF7"/>
    <w:rsid w:val="00B52E4F"/>
    <w:rsid w:val="00B53970"/>
    <w:rsid w:val="00B54235"/>
    <w:rsid w:val="00B54BE4"/>
    <w:rsid w:val="00B56B04"/>
    <w:rsid w:val="00B57541"/>
    <w:rsid w:val="00B57AC8"/>
    <w:rsid w:val="00B57B97"/>
    <w:rsid w:val="00B6091B"/>
    <w:rsid w:val="00B61537"/>
    <w:rsid w:val="00B61815"/>
    <w:rsid w:val="00B62135"/>
    <w:rsid w:val="00B63463"/>
    <w:rsid w:val="00B63575"/>
    <w:rsid w:val="00B63C3D"/>
    <w:rsid w:val="00B6400F"/>
    <w:rsid w:val="00B64D42"/>
    <w:rsid w:val="00B65865"/>
    <w:rsid w:val="00B65D73"/>
    <w:rsid w:val="00B67653"/>
    <w:rsid w:val="00B70163"/>
    <w:rsid w:val="00B7037C"/>
    <w:rsid w:val="00B72038"/>
    <w:rsid w:val="00B73062"/>
    <w:rsid w:val="00B736D4"/>
    <w:rsid w:val="00B746D0"/>
    <w:rsid w:val="00B74BE6"/>
    <w:rsid w:val="00B7592F"/>
    <w:rsid w:val="00B75C5C"/>
    <w:rsid w:val="00B774CE"/>
    <w:rsid w:val="00B77602"/>
    <w:rsid w:val="00B801A0"/>
    <w:rsid w:val="00B8057C"/>
    <w:rsid w:val="00B80777"/>
    <w:rsid w:val="00B816C0"/>
    <w:rsid w:val="00B81A78"/>
    <w:rsid w:val="00B829F8"/>
    <w:rsid w:val="00B83127"/>
    <w:rsid w:val="00B83502"/>
    <w:rsid w:val="00B842BB"/>
    <w:rsid w:val="00B846FC"/>
    <w:rsid w:val="00B9004F"/>
    <w:rsid w:val="00B907B6"/>
    <w:rsid w:val="00B93650"/>
    <w:rsid w:val="00B9380B"/>
    <w:rsid w:val="00B94051"/>
    <w:rsid w:val="00B948E7"/>
    <w:rsid w:val="00B9507A"/>
    <w:rsid w:val="00B95C5F"/>
    <w:rsid w:val="00B96276"/>
    <w:rsid w:val="00B963EF"/>
    <w:rsid w:val="00B96503"/>
    <w:rsid w:val="00B97CC1"/>
    <w:rsid w:val="00B97DDC"/>
    <w:rsid w:val="00BA2224"/>
    <w:rsid w:val="00BA2E11"/>
    <w:rsid w:val="00BA66A2"/>
    <w:rsid w:val="00BA679C"/>
    <w:rsid w:val="00BA67AB"/>
    <w:rsid w:val="00BA6C4B"/>
    <w:rsid w:val="00BA7907"/>
    <w:rsid w:val="00BB0269"/>
    <w:rsid w:val="00BB0288"/>
    <w:rsid w:val="00BB0734"/>
    <w:rsid w:val="00BB0A0B"/>
    <w:rsid w:val="00BB18D2"/>
    <w:rsid w:val="00BB1CCC"/>
    <w:rsid w:val="00BB3531"/>
    <w:rsid w:val="00BB407F"/>
    <w:rsid w:val="00BB4C2C"/>
    <w:rsid w:val="00BB4DC6"/>
    <w:rsid w:val="00BB4F00"/>
    <w:rsid w:val="00BB7BBE"/>
    <w:rsid w:val="00BC051E"/>
    <w:rsid w:val="00BC0EA4"/>
    <w:rsid w:val="00BC1689"/>
    <w:rsid w:val="00BC19A2"/>
    <w:rsid w:val="00BC2119"/>
    <w:rsid w:val="00BC3EAC"/>
    <w:rsid w:val="00BC494F"/>
    <w:rsid w:val="00BC4B10"/>
    <w:rsid w:val="00BC61DC"/>
    <w:rsid w:val="00BC65E0"/>
    <w:rsid w:val="00BC72A8"/>
    <w:rsid w:val="00BD045D"/>
    <w:rsid w:val="00BD336B"/>
    <w:rsid w:val="00BD3B26"/>
    <w:rsid w:val="00BD5C80"/>
    <w:rsid w:val="00BD6D54"/>
    <w:rsid w:val="00BD7734"/>
    <w:rsid w:val="00BD7CE9"/>
    <w:rsid w:val="00BE2044"/>
    <w:rsid w:val="00BE22ED"/>
    <w:rsid w:val="00BE294B"/>
    <w:rsid w:val="00BE30D6"/>
    <w:rsid w:val="00BF0093"/>
    <w:rsid w:val="00BF0241"/>
    <w:rsid w:val="00BF030A"/>
    <w:rsid w:val="00BF1E95"/>
    <w:rsid w:val="00BF2122"/>
    <w:rsid w:val="00BF3ABD"/>
    <w:rsid w:val="00BF5AD9"/>
    <w:rsid w:val="00BF7654"/>
    <w:rsid w:val="00C0210C"/>
    <w:rsid w:val="00C022F9"/>
    <w:rsid w:val="00C034AF"/>
    <w:rsid w:val="00C03811"/>
    <w:rsid w:val="00C04517"/>
    <w:rsid w:val="00C05317"/>
    <w:rsid w:val="00C0550F"/>
    <w:rsid w:val="00C07160"/>
    <w:rsid w:val="00C07B95"/>
    <w:rsid w:val="00C109A0"/>
    <w:rsid w:val="00C139F1"/>
    <w:rsid w:val="00C14266"/>
    <w:rsid w:val="00C15196"/>
    <w:rsid w:val="00C17991"/>
    <w:rsid w:val="00C20FA2"/>
    <w:rsid w:val="00C228B7"/>
    <w:rsid w:val="00C2410B"/>
    <w:rsid w:val="00C2785E"/>
    <w:rsid w:val="00C3444D"/>
    <w:rsid w:val="00C34A76"/>
    <w:rsid w:val="00C36D44"/>
    <w:rsid w:val="00C37B1C"/>
    <w:rsid w:val="00C37D05"/>
    <w:rsid w:val="00C422A7"/>
    <w:rsid w:val="00C42417"/>
    <w:rsid w:val="00C4431B"/>
    <w:rsid w:val="00C448ED"/>
    <w:rsid w:val="00C44FF0"/>
    <w:rsid w:val="00C454F7"/>
    <w:rsid w:val="00C4588C"/>
    <w:rsid w:val="00C46357"/>
    <w:rsid w:val="00C47AC8"/>
    <w:rsid w:val="00C5015F"/>
    <w:rsid w:val="00C5238C"/>
    <w:rsid w:val="00C526F0"/>
    <w:rsid w:val="00C530E5"/>
    <w:rsid w:val="00C53881"/>
    <w:rsid w:val="00C54C78"/>
    <w:rsid w:val="00C555CA"/>
    <w:rsid w:val="00C56205"/>
    <w:rsid w:val="00C5637F"/>
    <w:rsid w:val="00C56641"/>
    <w:rsid w:val="00C56E31"/>
    <w:rsid w:val="00C60ECA"/>
    <w:rsid w:val="00C62FC6"/>
    <w:rsid w:val="00C63644"/>
    <w:rsid w:val="00C6374B"/>
    <w:rsid w:val="00C64BB3"/>
    <w:rsid w:val="00C66A51"/>
    <w:rsid w:val="00C66BDC"/>
    <w:rsid w:val="00C67125"/>
    <w:rsid w:val="00C67E3D"/>
    <w:rsid w:val="00C67E82"/>
    <w:rsid w:val="00C70FE9"/>
    <w:rsid w:val="00C712F9"/>
    <w:rsid w:val="00C719DF"/>
    <w:rsid w:val="00C72E30"/>
    <w:rsid w:val="00C74897"/>
    <w:rsid w:val="00C754D7"/>
    <w:rsid w:val="00C758C3"/>
    <w:rsid w:val="00C7660E"/>
    <w:rsid w:val="00C80011"/>
    <w:rsid w:val="00C816ED"/>
    <w:rsid w:val="00C82DDF"/>
    <w:rsid w:val="00C836A0"/>
    <w:rsid w:val="00C84F38"/>
    <w:rsid w:val="00C8559E"/>
    <w:rsid w:val="00C85F99"/>
    <w:rsid w:val="00C8616A"/>
    <w:rsid w:val="00C90351"/>
    <w:rsid w:val="00C90945"/>
    <w:rsid w:val="00C9112A"/>
    <w:rsid w:val="00C91202"/>
    <w:rsid w:val="00C91D25"/>
    <w:rsid w:val="00C93AE9"/>
    <w:rsid w:val="00C95825"/>
    <w:rsid w:val="00C95E71"/>
    <w:rsid w:val="00C96165"/>
    <w:rsid w:val="00C96AAA"/>
    <w:rsid w:val="00C96F48"/>
    <w:rsid w:val="00C975EF"/>
    <w:rsid w:val="00CA0114"/>
    <w:rsid w:val="00CA0644"/>
    <w:rsid w:val="00CA19CF"/>
    <w:rsid w:val="00CA21D0"/>
    <w:rsid w:val="00CB029C"/>
    <w:rsid w:val="00CB08E5"/>
    <w:rsid w:val="00CB1ED3"/>
    <w:rsid w:val="00CB2449"/>
    <w:rsid w:val="00CB33F7"/>
    <w:rsid w:val="00CB35D8"/>
    <w:rsid w:val="00CB5CFD"/>
    <w:rsid w:val="00CB6D5B"/>
    <w:rsid w:val="00CB6E7B"/>
    <w:rsid w:val="00CC0D49"/>
    <w:rsid w:val="00CC1ECF"/>
    <w:rsid w:val="00CC4184"/>
    <w:rsid w:val="00CC458F"/>
    <w:rsid w:val="00CC46A5"/>
    <w:rsid w:val="00CC4BFA"/>
    <w:rsid w:val="00CC5A1F"/>
    <w:rsid w:val="00CD0056"/>
    <w:rsid w:val="00CD093C"/>
    <w:rsid w:val="00CD0B16"/>
    <w:rsid w:val="00CD2376"/>
    <w:rsid w:val="00CD3383"/>
    <w:rsid w:val="00CD33AC"/>
    <w:rsid w:val="00CD3B6A"/>
    <w:rsid w:val="00CD487F"/>
    <w:rsid w:val="00CD571C"/>
    <w:rsid w:val="00CE3F77"/>
    <w:rsid w:val="00CE48D2"/>
    <w:rsid w:val="00CE71E5"/>
    <w:rsid w:val="00CF05E3"/>
    <w:rsid w:val="00CF33E3"/>
    <w:rsid w:val="00CF4E5A"/>
    <w:rsid w:val="00CF602D"/>
    <w:rsid w:val="00CF712F"/>
    <w:rsid w:val="00CF77A8"/>
    <w:rsid w:val="00CF7FBF"/>
    <w:rsid w:val="00D031A2"/>
    <w:rsid w:val="00D0349C"/>
    <w:rsid w:val="00D0565B"/>
    <w:rsid w:val="00D0692B"/>
    <w:rsid w:val="00D07333"/>
    <w:rsid w:val="00D07917"/>
    <w:rsid w:val="00D126B0"/>
    <w:rsid w:val="00D12B91"/>
    <w:rsid w:val="00D13383"/>
    <w:rsid w:val="00D135A8"/>
    <w:rsid w:val="00D14984"/>
    <w:rsid w:val="00D15122"/>
    <w:rsid w:val="00D16974"/>
    <w:rsid w:val="00D16E17"/>
    <w:rsid w:val="00D202BA"/>
    <w:rsid w:val="00D209EA"/>
    <w:rsid w:val="00D2241C"/>
    <w:rsid w:val="00D22FA2"/>
    <w:rsid w:val="00D2303F"/>
    <w:rsid w:val="00D266F9"/>
    <w:rsid w:val="00D26849"/>
    <w:rsid w:val="00D279C7"/>
    <w:rsid w:val="00D27ED2"/>
    <w:rsid w:val="00D31BDF"/>
    <w:rsid w:val="00D3424A"/>
    <w:rsid w:val="00D346EA"/>
    <w:rsid w:val="00D34CAF"/>
    <w:rsid w:val="00D35BDA"/>
    <w:rsid w:val="00D371B5"/>
    <w:rsid w:val="00D37711"/>
    <w:rsid w:val="00D37C78"/>
    <w:rsid w:val="00D4031B"/>
    <w:rsid w:val="00D40E9B"/>
    <w:rsid w:val="00D41690"/>
    <w:rsid w:val="00D417CA"/>
    <w:rsid w:val="00D4258D"/>
    <w:rsid w:val="00D4475B"/>
    <w:rsid w:val="00D464E9"/>
    <w:rsid w:val="00D47B76"/>
    <w:rsid w:val="00D51268"/>
    <w:rsid w:val="00D513FE"/>
    <w:rsid w:val="00D51B9E"/>
    <w:rsid w:val="00D56D56"/>
    <w:rsid w:val="00D56FC7"/>
    <w:rsid w:val="00D57951"/>
    <w:rsid w:val="00D60D50"/>
    <w:rsid w:val="00D6314B"/>
    <w:rsid w:val="00D6360B"/>
    <w:rsid w:val="00D64716"/>
    <w:rsid w:val="00D66C37"/>
    <w:rsid w:val="00D716A5"/>
    <w:rsid w:val="00D717E8"/>
    <w:rsid w:val="00D731E4"/>
    <w:rsid w:val="00D73675"/>
    <w:rsid w:val="00D74208"/>
    <w:rsid w:val="00D747CB"/>
    <w:rsid w:val="00D76015"/>
    <w:rsid w:val="00D77BF8"/>
    <w:rsid w:val="00D806E5"/>
    <w:rsid w:val="00D80801"/>
    <w:rsid w:val="00D821C5"/>
    <w:rsid w:val="00D839E4"/>
    <w:rsid w:val="00D83F77"/>
    <w:rsid w:val="00D843CE"/>
    <w:rsid w:val="00D84E3F"/>
    <w:rsid w:val="00D86ACD"/>
    <w:rsid w:val="00D877F7"/>
    <w:rsid w:val="00D87807"/>
    <w:rsid w:val="00D917D2"/>
    <w:rsid w:val="00D91DE7"/>
    <w:rsid w:val="00D92411"/>
    <w:rsid w:val="00D924EA"/>
    <w:rsid w:val="00D93833"/>
    <w:rsid w:val="00D93C38"/>
    <w:rsid w:val="00D93FD1"/>
    <w:rsid w:val="00D94EE5"/>
    <w:rsid w:val="00D96684"/>
    <w:rsid w:val="00D976DB"/>
    <w:rsid w:val="00DA0007"/>
    <w:rsid w:val="00DA1E32"/>
    <w:rsid w:val="00DA3DDD"/>
    <w:rsid w:val="00DA4C95"/>
    <w:rsid w:val="00DA5218"/>
    <w:rsid w:val="00DA5676"/>
    <w:rsid w:val="00DA6820"/>
    <w:rsid w:val="00DA7016"/>
    <w:rsid w:val="00DB0F2C"/>
    <w:rsid w:val="00DB3DA2"/>
    <w:rsid w:val="00DB4CB7"/>
    <w:rsid w:val="00DB65A9"/>
    <w:rsid w:val="00DB79DF"/>
    <w:rsid w:val="00DB7CFE"/>
    <w:rsid w:val="00DC0062"/>
    <w:rsid w:val="00DC1122"/>
    <w:rsid w:val="00DC2A29"/>
    <w:rsid w:val="00DC3922"/>
    <w:rsid w:val="00DC585D"/>
    <w:rsid w:val="00DC59F6"/>
    <w:rsid w:val="00DC6C18"/>
    <w:rsid w:val="00DD2611"/>
    <w:rsid w:val="00DD2734"/>
    <w:rsid w:val="00DD2E4C"/>
    <w:rsid w:val="00DD2FCC"/>
    <w:rsid w:val="00DD38A1"/>
    <w:rsid w:val="00DD3F6A"/>
    <w:rsid w:val="00DD4279"/>
    <w:rsid w:val="00DD5862"/>
    <w:rsid w:val="00DD6ABC"/>
    <w:rsid w:val="00DD7A58"/>
    <w:rsid w:val="00DE08BD"/>
    <w:rsid w:val="00DE0BC4"/>
    <w:rsid w:val="00DE32F4"/>
    <w:rsid w:val="00DE479B"/>
    <w:rsid w:val="00DE4E9A"/>
    <w:rsid w:val="00DE6244"/>
    <w:rsid w:val="00DE63F4"/>
    <w:rsid w:val="00DF02D4"/>
    <w:rsid w:val="00DF1626"/>
    <w:rsid w:val="00DF16FC"/>
    <w:rsid w:val="00DF26A2"/>
    <w:rsid w:val="00DF3F6B"/>
    <w:rsid w:val="00DF6C6C"/>
    <w:rsid w:val="00E00656"/>
    <w:rsid w:val="00E024D5"/>
    <w:rsid w:val="00E032B7"/>
    <w:rsid w:val="00E0396A"/>
    <w:rsid w:val="00E04E10"/>
    <w:rsid w:val="00E055F0"/>
    <w:rsid w:val="00E07A10"/>
    <w:rsid w:val="00E11BD3"/>
    <w:rsid w:val="00E151DB"/>
    <w:rsid w:val="00E15349"/>
    <w:rsid w:val="00E15940"/>
    <w:rsid w:val="00E212E9"/>
    <w:rsid w:val="00E21AE2"/>
    <w:rsid w:val="00E21E2D"/>
    <w:rsid w:val="00E23555"/>
    <w:rsid w:val="00E239EF"/>
    <w:rsid w:val="00E242EB"/>
    <w:rsid w:val="00E25F8D"/>
    <w:rsid w:val="00E26337"/>
    <w:rsid w:val="00E265B8"/>
    <w:rsid w:val="00E26A30"/>
    <w:rsid w:val="00E2733B"/>
    <w:rsid w:val="00E27E0B"/>
    <w:rsid w:val="00E305C5"/>
    <w:rsid w:val="00E3062E"/>
    <w:rsid w:val="00E31264"/>
    <w:rsid w:val="00E32A2B"/>
    <w:rsid w:val="00E331D1"/>
    <w:rsid w:val="00E332AF"/>
    <w:rsid w:val="00E34A17"/>
    <w:rsid w:val="00E36E1F"/>
    <w:rsid w:val="00E36E75"/>
    <w:rsid w:val="00E3721D"/>
    <w:rsid w:val="00E41A2B"/>
    <w:rsid w:val="00E43E9E"/>
    <w:rsid w:val="00E4654E"/>
    <w:rsid w:val="00E46F05"/>
    <w:rsid w:val="00E47F79"/>
    <w:rsid w:val="00E52E83"/>
    <w:rsid w:val="00E538F8"/>
    <w:rsid w:val="00E54554"/>
    <w:rsid w:val="00E5519F"/>
    <w:rsid w:val="00E57498"/>
    <w:rsid w:val="00E57B46"/>
    <w:rsid w:val="00E60563"/>
    <w:rsid w:val="00E60C33"/>
    <w:rsid w:val="00E617AC"/>
    <w:rsid w:val="00E629CF"/>
    <w:rsid w:val="00E6341E"/>
    <w:rsid w:val="00E65385"/>
    <w:rsid w:val="00E6602F"/>
    <w:rsid w:val="00E66AB2"/>
    <w:rsid w:val="00E66E83"/>
    <w:rsid w:val="00E708AE"/>
    <w:rsid w:val="00E70F88"/>
    <w:rsid w:val="00E71E80"/>
    <w:rsid w:val="00E72712"/>
    <w:rsid w:val="00E72D15"/>
    <w:rsid w:val="00E73558"/>
    <w:rsid w:val="00E7452E"/>
    <w:rsid w:val="00E75727"/>
    <w:rsid w:val="00E75780"/>
    <w:rsid w:val="00E75877"/>
    <w:rsid w:val="00E75C6D"/>
    <w:rsid w:val="00E77AC3"/>
    <w:rsid w:val="00E77C95"/>
    <w:rsid w:val="00E83333"/>
    <w:rsid w:val="00E83F05"/>
    <w:rsid w:val="00E83F2F"/>
    <w:rsid w:val="00E86E75"/>
    <w:rsid w:val="00E87B5D"/>
    <w:rsid w:val="00E87C63"/>
    <w:rsid w:val="00E907B3"/>
    <w:rsid w:val="00E92BC9"/>
    <w:rsid w:val="00E94615"/>
    <w:rsid w:val="00E966F1"/>
    <w:rsid w:val="00E9718C"/>
    <w:rsid w:val="00E976E5"/>
    <w:rsid w:val="00EA0FD3"/>
    <w:rsid w:val="00EA19A6"/>
    <w:rsid w:val="00EA4ECB"/>
    <w:rsid w:val="00EA609B"/>
    <w:rsid w:val="00EA618A"/>
    <w:rsid w:val="00EA6251"/>
    <w:rsid w:val="00EA6FD8"/>
    <w:rsid w:val="00EA7021"/>
    <w:rsid w:val="00EA79B0"/>
    <w:rsid w:val="00EB0BB2"/>
    <w:rsid w:val="00EB10AB"/>
    <w:rsid w:val="00EB12D3"/>
    <w:rsid w:val="00EB1F84"/>
    <w:rsid w:val="00EB3C0D"/>
    <w:rsid w:val="00EB4376"/>
    <w:rsid w:val="00EB4410"/>
    <w:rsid w:val="00EB524D"/>
    <w:rsid w:val="00EB6FD4"/>
    <w:rsid w:val="00EB766D"/>
    <w:rsid w:val="00EB7E2F"/>
    <w:rsid w:val="00EC0D45"/>
    <w:rsid w:val="00EC2ABE"/>
    <w:rsid w:val="00EC5A61"/>
    <w:rsid w:val="00EC5B94"/>
    <w:rsid w:val="00ED1AFC"/>
    <w:rsid w:val="00ED2AA0"/>
    <w:rsid w:val="00ED2BA1"/>
    <w:rsid w:val="00ED2BD9"/>
    <w:rsid w:val="00ED3CC5"/>
    <w:rsid w:val="00ED5076"/>
    <w:rsid w:val="00EE072D"/>
    <w:rsid w:val="00EE1EBD"/>
    <w:rsid w:val="00EE5875"/>
    <w:rsid w:val="00EE7BA8"/>
    <w:rsid w:val="00EF164F"/>
    <w:rsid w:val="00EF26CB"/>
    <w:rsid w:val="00EF483B"/>
    <w:rsid w:val="00EF63B1"/>
    <w:rsid w:val="00F003DD"/>
    <w:rsid w:val="00F00860"/>
    <w:rsid w:val="00F01590"/>
    <w:rsid w:val="00F01FA2"/>
    <w:rsid w:val="00F02780"/>
    <w:rsid w:val="00F028A8"/>
    <w:rsid w:val="00F05254"/>
    <w:rsid w:val="00F05F8C"/>
    <w:rsid w:val="00F071FC"/>
    <w:rsid w:val="00F07E1A"/>
    <w:rsid w:val="00F11DE1"/>
    <w:rsid w:val="00F1389E"/>
    <w:rsid w:val="00F13E7B"/>
    <w:rsid w:val="00F14096"/>
    <w:rsid w:val="00F14F00"/>
    <w:rsid w:val="00F16478"/>
    <w:rsid w:val="00F22042"/>
    <w:rsid w:val="00F22232"/>
    <w:rsid w:val="00F23300"/>
    <w:rsid w:val="00F240BD"/>
    <w:rsid w:val="00F24DC1"/>
    <w:rsid w:val="00F25C1A"/>
    <w:rsid w:val="00F26155"/>
    <w:rsid w:val="00F27569"/>
    <w:rsid w:val="00F27FF0"/>
    <w:rsid w:val="00F302CC"/>
    <w:rsid w:val="00F305BB"/>
    <w:rsid w:val="00F3237A"/>
    <w:rsid w:val="00F32F45"/>
    <w:rsid w:val="00F3450C"/>
    <w:rsid w:val="00F34963"/>
    <w:rsid w:val="00F3519F"/>
    <w:rsid w:val="00F35E2D"/>
    <w:rsid w:val="00F403A5"/>
    <w:rsid w:val="00F40F18"/>
    <w:rsid w:val="00F40FE0"/>
    <w:rsid w:val="00F41252"/>
    <w:rsid w:val="00F43271"/>
    <w:rsid w:val="00F46002"/>
    <w:rsid w:val="00F5080F"/>
    <w:rsid w:val="00F51C03"/>
    <w:rsid w:val="00F53017"/>
    <w:rsid w:val="00F531C1"/>
    <w:rsid w:val="00F537B5"/>
    <w:rsid w:val="00F5624F"/>
    <w:rsid w:val="00F56AF2"/>
    <w:rsid w:val="00F60C24"/>
    <w:rsid w:val="00F631F4"/>
    <w:rsid w:val="00F6364D"/>
    <w:rsid w:val="00F64225"/>
    <w:rsid w:val="00F64633"/>
    <w:rsid w:val="00F6516C"/>
    <w:rsid w:val="00F65C2D"/>
    <w:rsid w:val="00F6706C"/>
    <w:rsid w:val="00F706C3"/>
    <w:rsid w:val="00F70E88"/>
    <w:rsid w:val="00F71DE8"/>
    <w:rsid w:val="00F7217E"/>
    <w:rsid w:val="00F72BDA"/>
    <w:rsid w:val="00F735FE"/>
    <w:rsid w:val="00F75113"/>
    <w:rsid w:val="00F76A3D"/>
    <w:rsid w:val="00F80127"/>
    <w:rsid w:val="00F8084D"/>
    <w:rsid w:val="00F81B6B"/>
    <w:rsid w:val="00F823E7"/>
    <w:rsid w:val="00F824B6"/>
    <w:rsid w:val="00F84020"/>
    <w:rsid w:val="00F84A3B"/>
    <w:rsid w:val="00F85677"/>
    <w:rsid w:val="00F87811"/>
    <w:rsid w:val="00F917F9"/>
    <w:rsid w:val="00F92891"/>
    <w:rsid w:val="00F93687"/>
    <w:rsid w:val="00F940E9"/>
    <w:rsid w:val="00F9503D"/>
    <w:rsid w:val="00F9520E"/>
    <w:rsid w:val="00F955E7"/>
    <w:rsid w:val="00F968D5"/>
    <w:rsid w:val="00F971AB"/>
    <w:rsid w:val="00FA189C"/>
    <w:rsid w:val="00FA40F2"/>
    <w:rsid w:val="00FA4BD4"/>
    <w:rsid w:val="00FA50FA"/>
    <w:rsid w:val="00FA73BB"/>
    <w:rsid w:val="00FA7455"/>
    <w:rsid w:val="00FB3D28"/>
    <w:rsid w:val="00FB3F0F"/>
    <w:rsid w:val="00FB4909"/>
    <w:rsid w:val="00FB5F5B"/>
    <w:rsid w:val="00FB6FB6"/>
    <w:rsid w:val="00FB781C"/>
    <w:rsid w:val="00FC0222"/>
    <w:rsid w:val="00FC0BDA"/>
    <w:rsid w:val="00FC1932"/>
    <w:rsid w:val="00FC5E05"/>
    <w:rsid w:val="00FC661D"/>
    <w:rsid w:val="00FC7287"/>
    <w:rsid w:val="00FC79C5"/>
    <w:rsid w:val="00FD1523"/>
    <w:rsid w:val="00FD24E4"/>
    <w:rsid w:val="00FD3C10"/>
    <w:rsid w:val="00FD3C5B"/>
    <w:rsid w:val="00FD3E52"/>
    <w:rsid w:val="00FD4146"/>
    <w:rsid w:val="00FD4D40"/>
    <w:rsid w:val="00FD619F"/>
    <w:rsid w:val="00FD6718"/>
    <w:rsid w:val="00FD6DF0"/>
    <w:rsid w:val="00FD7353"/>
    <w:rsid w:val="00FD7A0D"/>
    <w:rsid w:val="00FD7CFB"/>
    <w:rsid w:val="00FE20FD"/>
    <w:rsid w:val="00FE4DD4"/>
    <w:rsid w:val="00FE5050"/>
    <w:rsid w:val="00FE506D"/>
    <w:rsid w:val="00FE5287"/>
    <w:rsid w:val="00FE5FAB"/>
    <w:rsid w:val="00FE6D9A"/>
    <w:rsid w:val="00FE771C"/>
    <w:rsid w:val="00FF09DD"/>
    <w:rsid w:val="00FF1209"/>
    <w:rsid w:val="00FF12E2"/>
    <w:rsid w:val="00FF234C"/>
    <w:rsid w:val="00FF2AC5"/>
    <w:rsid w:val="00FF5238"/>
    <w:rsid w:val="00FF64C9"/>
    <w:rsid w:val="00FF7651"/>
    <w:rsid w:val="00FF7D96"/>
    <w:rsid w:val="00FF7FE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B5DA93"/>
  <w15:docId w15:val="{49978FD8-BF77-47F7-8AA8-498EB41CD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5E514D"/>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D2B"/>
    <w:pPr>
      <w:spacing w:after="0" w:line="260" w:lineRule="atLeast"/>
      <w:jc w:val="both"/>
    </w:pPr>
  </w:style>
  <w:style w:type="paragraph" w:styleId="Titre1">
    <w:name w:val="heading 1"/>
    <w:basedOn w:val="Normal"/>
    <w:next w:val="Normal"/>
    <w:link w:val="Titre1Car"/>
    <w:uiPriority w:val="9"/>
    <w:qFormat/>
    <w:rsid w:val="00705974"/>
    <w:pPr>
      <w:pageBreakBefore/>
      <w:numPr>
        <w:numId w:val="1"/>
      </w:numPr>
      <w:spacing w:after="120" w:line="400" w:lineRule="atLeast"/>
      <w:outlineLvl w:val="0"/>
    </w:pPr>
    <w:rPr>
      <w:rFonts w:ascii="Impact" w:eastAsiaTheme="majorEastAsia" w:hAnsi="Impact" w:cstheme="majorBidi"/>
      <w:bCs/>
      <w:caps/>
      <w:sz w:val="36"/>
      <w:szCs w:val="28"/>
    </w:rPr>
  </w:style>
  <w:style w:type="paragraph" w:styleId="Titre2">
    <w:name w:val="heading 2"/>
    <w:basedOn w:val="Normal"/>
    <w:next w:val="Normal"/>
    <w:link w:val="Titre2Car"/>
    <w:uiPriority w:val="9"/>
    <w:qFormat/>
    <w:rsid w:val="00705974"/>
    <w:pPr>
      <w:keepNext/>
      <w:keepLines/>
      <w:numPr>
        <w:ilvl w:val="1"/>
        <w:numId w:val="1"/>
      </w:numPr>
      <w:spacing w:before="300" w:after="240" w:line="300" w:lineRule="atLeast"/>
      <w:outlineLvl w:val="1"/>
    </w:pPr>
    <w:rPr>
      <w:rFonts w:eastAsiaTheme="majorEastAsia" w:cstheme="majorBidi"/>
      <w:b/>
      <w:bCs/>
      <w:caps/>
      <w:sz w:val="24"/>
      <w:szCs w:val="26"/>
    </w:rPr>
  </w:style>
  <w:style w:type="paragraph" w:styleId="Titre3">
    <w:name w:val="heading 3"/>
    <w:basedOn w:val="Normal"/>
    <w:next w:val="Normal"/>
    <w:link w:val="Titre3Car"/>
    <w:uiPriority w:val="9"/>
    <w:qFormat/>
    <w:rsid w:val="00705974"/>
    <w:pPr>
      <w:keepNext/>
      <w:keepLines/>
      <w:numPr>
        <w:ilvl w:val="2"/>
        <w:numId w:val="1"/>
      </w:numPr>
      <w:spacing w:before="260" w:after="120"/>
      <w:outlineLvl w:val="2"/>
    </w:pPr>
    <w:rPr>
      <w:rFonts w:eastAsiaTheme="majorEastAsia" w:cstheme="majorBidi"/>
      <w:bCs/>
      <w:sz w:val="22"/>
    </w:rPr>
  </w:style>
  <w:style w:type="paragraph" w:styleId="Titre4">
    <w:name w:val="heading 4"/>
    <w:basedOn w:val="Normal"/>
    <w:next w:val="Normal"/>
    <w:link w:val="Titre4Car"/>
    <w:uiPriority w:val="9"/>
    <w:qFormat/>
    <w:rsid w:val="00096317"/>
    <w:pPr>
      <w:keepNext/>
      <w:keepLines/>
      <w:spacing w:before="200"/>
      <w:outlineLvl w:val="3"/>
    </w:pPr>
    <w:rPr>
      <w:rFonts w:eastAsiaTheme="majorEastAsia" w:cstheme="majorBidi"/>
      <w:b/>
      <w:bCs/>
      <w:iCs/>
      <w:color w:val="FFCD00" w:themeColor="accent1"/>
    </w:rPr>
  </w:style>
  <w:style w:type="paragraph" w:styleId="Titre5">
    <w:name w:val="heading 5"/>
    <w:basedOn w:val="Normal"/>
    <w:next w:val="Normal"/>
    <w:link w:val="Titre5Car"/>
    <w:uiPriority w:val="9"/>
    <w:qFormat/>
    <w:rsid w:val="0011500A"/>
    <w:pPr>
      <w:keepNext/>
      <w:keepLines/>
      <w:numPr>
        <w:ilvl w:val="4"/>
        <w:numId w:val="1"/>
      </w:numPr>
      <w:spacing w:before="200"/>
      <w:outlineLvl w:val="4"/>
    </w:pPr>
    <w:rPr>
      <w:rFonts w:eastAsiaTheme="majorEastAsia" w:cstheme="majorBidi"/>
      <w:color w:val="7F6600" w:themeColor="accent1" w:themeShade="7F"/>
    </w:rPr>
  </w:style>
  <w:style w:type="paragraph" w:styleId="Titre6">
    <w:name w:val="heading 6"/>
    <w:basedOn w:val="Normal"/>
    <w:next w:val="Normal"/>
    <w:link w:val="Titre6Car"/>
    <w:uiPriority w:val="9"/>
    <w:qFormat/>
    <w:rsid w:val="0011500A"/>
    <w:pPr>
      <w:keepNext/>
      <w:keepLines/>
      <w:numPr>
        <w:ilvl w:val="5"/>
        <w:numId w:val="1"/>
      </w:numPr>
      <w:spacing w:before="200"/>
      <w:outlineLvl w:val="5"/>
    </w:pPr>
    <w:rPr>
      <w:rFonts w:eastAsiaTheme="majorEastAsia" w:cstheme="majorBidi"/>
      <w:i/>
      <w:iCs/>
      <w:color w:val="7F6600" w:themeColor="accent1" w:themeShade="7F"/>
    </w:rPr>
  </w:style>
  <w:style w:type="paragraph" w:styleId="Titre7">
    <w:name w:val="heading 7"/>
    <w:basedOn w:val="Normal"/>
    <w:next w:val="Normal"/>
    <w:link w:val="Titre7Car"/>
    <w:uiPriority w:val="9"/>
    <w:qFormat/>
    <w:rsid w:val="0011500A"/>
    <w:pPr>
      <w:keepNext/>
      <w:keepLines/>
      <w:numPr>
        <w:ilvl w:val="6"/>
        <w:numId w:val="1"/>
      </w:numPr>
      <w:spacing w:before="200"/>
      <w:outlineLvl w:val="6"/>
    </w:pPr>
    <w:rPr>
      <w:rFonts w:eastAsiaTheme="majorEastAsia" w:cstheme="majorBidi"/>
      <w:i/>
      <w:iCs/>
      <w:color w:val="404040" w:themeColor="text1" w:themeTint="BF"/>
    </w:rPr>
  </w:style>
  <w:style w:type="paragraph" w:styleId="Titre8">
    <w:name w:val="heading 8"/>
    <w:basedOn w:val="Normal"/>
    <w:next w:val="Normal"/>
    <w:link w:val="Titre8Car"/>
    <w:uiPriority w:val="9"/>
    <w:qFormat/>
    <w:rsid w:val="0011500A"/>
    <w:pPr>
      <w:keepNext/>
      <w:keepLines/>
      <w:numPr>
        <w:ilvl w:val="7"/>
        <w:numId w:val="1"/>
      </w:numPr>
      <w:spacing w:before="200"/>
      <w:outlineLvl w:val="7"/>
    </w:pPr>
    <w:rPr>
      <w:rFonts w:eastAsiaTheme="majorEastAsia" w:cstheme="majorBidi"/>
      <w:color w:val="404040" w:themeColor="text1" w:themeTint="BF"/>
    </w:rPr>
  </w:style>
  <w:style w:type="paragraph" w:styleId="Titre9">
    <w:name w:val="heading 9"/>
    <w:basedOn w:val="Normal"/>
    <w:next w:val="Normal"/>
    <w:link w:val="Titre9Car"/>
    <w:uiPriority w:val="9"/>
    <w:qFormat/>
    <w:rsid w:val="0011500A"/>
    <w:pPr>
      <w:keepNext/>
      <w:keepLines/>
      <w:numPr>
        <w:ilvl w:val="8"/>
        <w:numId w:val="1"/>
      </w:numPr>
      <w:spacing w:before="200"/>
      <w:outlineLvl w:val="8"/>
    </w:pPr>
    <w:rPr>
      <w:rFonts w:eastAsiaTheme="majorEastAsia"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5974"/>
    <w:rPr>
      <w:rFonts w:ascii="Impact" w:eastAsiaTheme="majorEastAsia" w:hAnsi="Impact" w:cstheme="majorBidi"/>
      <w:bCs/>
      <w:caps/>
      <w:sz w:val="36"/>
      <w:szCs w:val="28"/>
    </w:rPr>
  </w:style>
  <w:style w:type="character" w:customStyle="1" w:styleId="Titre2Car">
    <w:name w:val="Titre 2 Car"/>
    <w:basedOn w:val="Policepardfaut"/>
    <w:link w:val="Titre2"/>
    <w:uiPriority w:val="9"/>
    <w:rsid w:val="00705974"/>
    <w:rPr>
      <w:rFonts w:eastAsiaTheme="majorEastAsia" w:cstheme="majorBidi"/>
      <w:b/>
      <w:bCs/>
      <w:caps/>
      <w:sz w:val="24"/>
      <w:szCs w:val="26"/>
    </w:rPr>
  </w:style>
  <w:style w:type="character" w:customStyle="1" w:styleId="Titre3Car">
    <w:name w:val="Titre 3 Car"/>
    <w:basedOn w:val="Policepardfaut"/>
    <w:link w:val="Titre3"/>
    <w:uiPriority w:val="9"/>
    <w:rsid w:val="00705974"/>
    <w:rPr>
      <w:rFonts w:eastAsiaTheme="majorEastAsia" w:cstheme="majorBidi"/>
      <w:bCs/>
      <w:sz w:val="22"/>
    </w:rPr>
  </w:style>
  <w:style w:type="character" w:customStyle="1" w:styleId="Titre4Car">
    <w:name w:val="Titre 4 Car"/>
    <w:basedOn w:val="Policepardfaut"/>
    <w:link w:val="Titre4"/>
    <w:uiPriority w:val="9"/>
    <w:rsid w:val="00096317"/>
    <w:rPr>
      <w:rFonts w:eastAsiaTheme="majorEastAsia" w:cstheme="majorBidi"/>
      <w:b/>
      <w:bCs/>
      <w:iCs/>
      <w:color w:val="FFCD00" w:themeColor="accent1"/>
    </w:rPr>
  </w:style>
  <w:style w:type="character" w:customStyle="1" w:styleId="Titre5Car">
    <w:name w:val="Titre 5 Car"/>
    <w:basedOn w:val="Policepardfaut"/>
    <w:link w:val="Titre5"/>
    <w:uiPriority w:val="9"/>
    <w:rsid w:val="0011500A"/>
    <w:rPr>
      <w:rFonts w:eastAsiaTheme="majorEastAsia" w:cstheme="majorBidi"/>
      <w:color w:val="7F6600" w:themeColor="accent1" w:themeShade="7F"/>
    </w:rPr>
  </w:style>
  <w:style w:type="character" w:customStyle="1" w:styleId="Titre6Car">
    <w:name w:val="Titre 6 Car"/>
    <w:basedOn w:val="Policepardfaut"/>
    <w:link w:val="Titre6"/>
    <w:uiPriority w:val="9"/>
    <w:rsid w:val="0011500A"/>
    <w:rPr>
      <w:rFonts w:eastAsiaTheme="majorEastAsia" w:cstheme="majorBidi"/>
      <w:i/>
      <w:iCs/>
      <w:color w:val="7F6600" w:themeColor="accent1" w:themeShade="7F"/>
    </w:rPr>
  </w:style>
  <w:style w:type="character" w:customStyle="1" w:styleId="Titre7Car">
    <w:name w:val="Titre 7 Car"/>
    <w:basedOn w:val="Policepardfaut"/>
    <w:link w:val="Titre7"/>
    <w:uiPriority w:val="9"/>
    <w:rsid w:val="0011500A"/>
    <w:rPr>
      <w:rFonts w:eastAsiaTheme="majorEastAsia" w:cstheme="majorBidi"/>
      <w:i/>
      <w:iCs/>
      <w:color w:val="404040" w:themeColor="text1" w:themeTint="BF"/>
    </w:rPr>
  </w:style>
  <w:style w:type="character" w:customStyle="1" w:styleId="Titre8Car">
    <w:name w:val="Titre 8 Car"/>
    <w:basedOn w:val="Policepardfaut"/>
    <w:link w:val="Titre8"/>
    <w:uiPriority w:val="9"/>
    <w:rsid w:val="0011500A"/>
    <w:rPr>
      <w:rFonts w:eastAsiaTheme="majorEastAsia" w:cstheme="majorBidi"/>
      <w:color w:val="404040" w:themeColor="text1" w:themeTint="BF"/>
    </w:rPr>
  </w:style>
  <w:style w:type="character" w:customStyle="1" w:styleId="Titre9Car">
    <w:name w:val="Titre 9 Car"/>
    <w:basedOn w:val="Policepardfaut"/>
    <w:link w:val="Titre9"/>
    <w:uiPriority w:val="9"/>
    <w:rsid w:val="0011500A"/>
    <w:rPr>
      <w:rFonts w:eastAsiaTheme="majorEastAsia" w:cstheme="majorBidi"/>
      <w:i/>
      <w:iCs/>
      <w:color w:val="404040" w:themeColor="text1" w:themeTint="BF"/>
    </w:rPr>
  </w:style>
  <w:style w:type="paragraph" w:styleId="En-tte">
    <w:name w:val="header"/>
    <w:basedOn w:val="Pieddepage"/>
    <w:link w:val="En-tteCar"/>
    <w:uiPriority w:val="99"/>
    <w:rsid w:val="00361AB0"/>
    <w:pPr>
      <w:jc w:val="right"/>
    </w:pPr>
  </w:style>
  <w:style w:type="paragraph" w:styleId="Pieddepage">
    <w:name w:val="footer"/>
    <w:link w:val="PieddepageCar"/>
    <w:uiPriority w:val="99"/>
    <w:rsid w:val="002B794C"/>
    <w:pPr>
      <w:spacing w:after="20" w:line="240" w:lineRule="auto"/>
    </w:pPr>
    <w:rPr>
      <w:sz w:val="16"/>
    </w:rPr>
  </w:style>
  <w:style w:type="character" w:customStyle="1" w:styleId="PieddepageCar">
    <w:name w:val="Pied de page Car"/>
    <w:basedOn w:val="Policepardfaut"/>
    <w:link w:val="Pieddepage"/>
    <w:uiPriority w:val="99"/>
    <w:rsid w:val="002B794C"/>
    <w:rPr>
      <w:color w:val="5E514D"/>
      <w:sz w:val="16"/>
    </w:rPr>
  </w:style>
  <w:style w:type="character" w:customStyle="1" w:styleId="En-tteCar">
    <w:name w:val="En-tête Car"/>
    <w:basedOn w:val="Policepardfaut"/>
    <w:link w:val="En-tte"/>
    <w:uiPriority w:val="99"/>
    <w:rsid w:val="00361AB0"/>
    <w:rPr>
      <w:rFonts w:ascii="Arial" w:hAnsi="Arial"/>
      <w:color w:val="786E64" w:themeColor="accent2"/>
      <w:sz w:val="16"/>
    </w:rPr>
  </w:style>
  <w:style w:type="paragraph" w:styleId="Textedebulles">
    <w:name w:val="Balloon Text"/>
    <w:basedOn w:val="Normal"/>
    <w:link w:val="TextedebullesCar"/>
    <w:uiPriority w:val="99"/>
    <w:semiHidden/>
    <w:rsid w:val="00F41DF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1DFB"/>
    <w:rPr>
      <w:rFonts w:ascii="Tahoma" w:hAnsi="Tahoma" w:cs="Tahoma"/>
      <w:sz w:val="16"/>
      <w:szCs w:val="16"/>
    </w:rPr>
  </w:style>
  <w:style w:type="table" w:styleId="Grilledutableau">
    <w:name w:val="Table Grid"/>
    <w:basedOn w:val="TableauNormal"/>
    <w:uiPriority w:val="59"/>
    <w:rsid w:val="00F41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7F525D"/>
    <w:rPr>
      <w:color w:val="808080"/>
    </w:rPr>
  </w:style>
  <w:style w:type="paragraph" w:customStyle="1" w:styleId="TitreDocumentNiveau2">
    <w:name w:val="Titre Document Niveau 2"/>
    <w:basedOn w:val="TitreDocumentNiveau1"/>
    <w:rsid w:val="00276DD8"/>
    <w:pPr>
      <w:spacing w:before="120"/>
    </w:pPr>
    <w:rPr>
      <w:caps w:val="0"/>
      <w:sz w:val="56"/>
    </w:rPr>
  </w:style>
  <w:style w:type="paragraph" w:customStyle="1" w:styleId="TitreDocumentNiveau1">
    <w:name w:val="Titre Document Niveau 1"/>
    <w:rsid w:val="00276DD8"/>
    <w:pPr>
      <w:spacing w:before="9240" w:after="120" w:line="400" w:lineRule="atLeast"/>
      <w:ind w:left="567" w:right="567"/>
    </w:pPr>
    <w:rPr>
      <w:rFonts w:ascii="Impact" w:hAnsi="Impact"/>
      <w:caps/>
      <w:sz w:val="64"/>
    </w:rPr>
  </w:style>
  <w:style w:type="paragraph" w:customStyle="1" w:styleId="Puce1">
    <w:name w:val="Puce 1"/>
    <w:basedOn w:val="Normal"/>
    <w:qFormat/>
    <w:rsid w:val="0011500A"/>
    <w:pPr>
      <w:numPr>
        <w:numId w:val="3"/>
      </w:numPr>
    </w:pPr>
  </w:style>
  <w:style w:type="paragraph" w:customStyle="1" w:styleId="Puce2">
    <w:name w:val="Puce 2"/>
    <w:basedOn w:val="Normal"/>
    <w:qFormat/>
    <w:rsid w:val="0011500A"/>
    <w:pPr>
      <w:numPr>
        <w:ilvl w:val="1"/>
        <w:numId w:val="3"/>
      </w:numPr>
    </w:pPr>
  </w:style>
  <w:style w:type="paragraph" w:customStyle="1" w:styleId="Puce3">
    <w:name w:val="Puce 3"/>
    <w:basedOn w:val="Normal"/>
    <w:qFormat/>
    <w:rsid w:val="0011500A"/>
    <w:pPr>
      <w:numPr>
        <w:ilvl w:val="2"/>
        <w:numId w:val="3"/>
      </w:numPr>
    </w:pPr>
  </w:style>
  <w:style w:type="paragraph" w:customStyle="1" w:styleId="Texteencart">
    <w:name w:val="Texte encart"/>
    <w:qFormat/>
    <w:rsid w:val="00021374"/>
    <w:pPr>
      <w:pBdr>
        <w:top w:val="single" w:sz="48" w:space="1" w:color="FFCD00" w:themeColor="accent1"/>
        <w:left w:val="single" w:sz="48" w:space="4" w:color="FFCD00" w:themeColor="accent1"/>
        <w:bottom w:val="single" w:sz="48" w:space="1" w:color="FFCD00" w:themeColor="accent1"/>
        <w:right w:val="single" w:sz="48" w:space="4" w:color="FFCD00" w:themeColor="accent1"/>
      </w:pBdr>
      <w:shd w:val="clear" w:color="auto" w:fill="FFCD00" w:themeFill="accent1"/>
      <w:spacing w:after="0" w:line="260" w:lineRule="atLeast"/>
      <w:ind w:left="227" w:right="227"/>
    </w:pPr>
    <w:rPr>
      <w:color w:val="786E64" w:themeColor="accent2"/>
    </w:rPr>
  </w:style>
  <w:style w:type="paragraph" w:customStyle="1" w:styleId="Titreencart">
    <w:name w:val="Titre encart"/>
    <w:qFormat/>
    <w:rsid w:val="00AC5562"/>
    <w:pPr>
      <w:pBdr>
        <w:top w:val="single" w:sz="48" w:space="1" w:color="FFCD00" w:themeColor="accent1"/>
        <w:left w:val="single" w:sz="48" w:space="4" w:color="FFCD00" w:themeColor="accent1"/>
        <w:bottom w:val="single" w:sz="48" w:space="1" w:color="FFCD00" w:themeColor="accent1"/>
        <w:right w:val="single" w:sz="48" w:space="4" w:color="FFCD00" w:themeColor="accent1"/>
      </w:pBdr>
      <w:shd w:val="clear" w:color="auto" w:fill="FFCD00" w:themeFill="accent1"/>
      <w:spacing w:after="0" w:line="260" w:lineRule="atLeast"/>
      <w:ind w:left="227" w:right="227"/>
    </w:pPr>
    <w:rPr>
      <w:b/>
      <w:color w:val="786E64" w:themeColor="accent2"/>
      <w:sz w:val="24"/>
    </w:rPr>
  </w:style>
  <w:style w:type="paragraph" w:styleId="NormalWeb">
    <w:name w:val="Normal (Web)"/>
    <w:basedOn w:val="Normal"/>
    <w:uiPriority w:val="99"/>
    <w:semiHidden/>
    <w:unhideWhenUsed/>
    <w:rsid w:val="00AC5562"/>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Textepieddepage">
    <w:name w:val="Texte pied de page"/>
    <w:basedOn w:val="Normal"/>
    <w:qFormat/>
    <w:rsid w:val="00F46E65"/>
    <w:pPr>
      <w:framePr w:w="10036" w:h="57" w:wrap="notBeside" w:vAnchor="page" w:hAnchor="margin" w:yAlign="bottom" w:anchorLock="1"/>
      <w:spacing w:line="180" w:lineRule="atLeast"/>
    </w:pPr>
    <w:rPr>
      <w:sz w:val="16"/>
    </w:rPr>
  </w:style>
  <w:style w:type="paragraph" w:customStyle="1" w:styleId="Titre1sansnumrotation">
    <w:name w:val="Titre 1 sans numérotation"/>
    <w:basedOn w:val="Titre1"/>
    <w:qFormat/>
    <w:rsid w:val="00276DD8"/>
    <w:pPr>
      <w:numPr>
        <w:numId w:val="0"/>
      </w:numPr>
      <w:outlineLvl w:val="9"/>
    </w:pPr>
  </w:style>
  <w:style w:type="paragraph" w:styleId="En-ttedetabledesmatires">
    <w:name w:val="TOC Heading"/>
    <w:basedOn w:val="Titre1"/>
    <w:next w:val="Normal"/>
    <w:uiPriority w:val="39"/>
    <w:unhideWhenUsed/>
    <w:qFormat/>
    <w:rsid w:val="00A65903"/>
    <w:pPr>
      <w:keepNext/>
      <w:keepLines/>
      <w:pageBreakBefore w:val="0"/>
      <w:numPr>
        <w:numId w:val="0"/>
      </w:numPr>
      <w:spacing w:before="480" w:after="0" w:line="276" w:lineRule="auto"/>
      <w:jc w:val="left"/>
      <w:outlineLvl w:val="9"/>
    </w:pPr>
    <w:rPr>
      <w:rFonts w:asciiTheme="majorHAnsi" w:hAnsiTheme="majorHAnsi"/>
      <w:b/>
      <w:caps w:val="0"/>
      <w:color w:val="BF9900" w:themeColor="accent1" w:themeShade="BF"/>
      <w:sz w:val="28"/>
      <w:lang w:eastAsia="fr-FR"/>
    </w:rPr>
  </w:style>
  <w:style w:type="paragraph" w:customStyle="1" w:styleId="PieddepageNumrotation">
    <w:name w:val="Pied de page Numérotation"/>
    <w:basedOn w:val="Pieddepage"/>
    <w:rsid w:val="00361AB0"/>
    <w:pPr>
      <w:spacing w:after="0"/>
    </w:pPr>
    <w:rPr>
      <w:rFonts w:ascii="Impact" w:hAnsi="Impact"/>
    </w:rPr>
  </w:style>
  <w:style w:type="paragraph" w:customStyle="1" w:styleId="TableauTitrecolonne">
    <w:name w:val="Tableau Titre colonne"/>
    <w:basedOn w:val="Normal"/>
    <w:qFormat/>
    <w:rsid w:val="003E3BE2"/>
    <w:pPr>
      <w:spacing w:before="120" w:after="120"/>
      <w:jc w:val="center"/>
    </w:pPr>
    <w:rPr>
      <w:rFonts w:ascii="Impact" w:hAnsi="Impact" w:cs="Arial"/>
      <w:bCs/>
      <w:caps/>
      <w:kern w:val="24"/>
      <w:sz w:val="24"/>
    </w:rPr>
  </w:style>
  <w:style w:type="paragraph" w:customStyle="1" w:styleId="TableauTitre">
    <w:name w:val="Tableau Titre"/>
    <w:basedOn w:val="TableauTitrecolonne"/>
    <w:qFormat/>
    <w:rsid w:val="00AC5C2A"/>
    <w:pPr>
      <w:spacing w:before="720" w:after="240"/>
      <w:jc w:val="left"/>
    </w:pPr>
    <w:rPr>
      <w:caps w:val="0"/>
      <w:sz w:val="32"/>
    </w:rPr>
  </w:style>
  <w:style w:type="paragraph" w:customStyle="1" w:styleId="Code">
    <w:name w:val="Code"/>
    <w:basedOn w:val="Normal"/>
    <w:rsid w:val="00705974"/>
    <w:pPr>
      <w:pBdr>
        <w:top w:val="single" w:sz="2" w:space="10" w:color="E4E1DF" w:themeColor="accent2" w:themeTint="33"/>
        <w:left w:val="single" w:sz="2" w:space="15" w:color="E4E1DF" w:themeColor="accent2" w:themeTint="33"/>
        <w:bottom w:val="single" w:sz="2" w:space="10" w:color="E4E1DF" w:themeColor="accent2" w:themeTint="33"/>
        <w:right w:val="single" w:sz="2" w:space="15" w:color="E4E1DF" w:themeColor="accent2" w:themeTint="33"/>
      </w:pBdr>
      <w:shd w:val="clear" w:color="auto" w:fill="E4E1DF" w:themeFill="accent2" w:themeFillTint="33"/>
      <w:spacing w:before="120" w:after="120" w:line="264" w:lineRule="auto"/>
      <w:ind w:left="284" w:right="284"/>
      <w:contextualSpacing/>
    </w:pPr>
    <w:rPr>
      <w:rFonts w:ascii="Courier New" w:hAnsi="Courier New" w:cs="Courier New"/>
      <w:color w:val="59524B" w:themeColor="accent2" w:themeShade="BF"/>
      <w:sz w:val="18"/>
      <w:lang w:val="en-GB"/>
    </w:rPr>
  </w:style>
  <w:style w:type="paragraph" w:customStyle="1" w:styleId="Commentaires">
    <w:name w:val="Commentaires"/>
    <w:basedOn w:val="Normal"/>
    <w:rsid w:val="00584D9F"/>
    <w:pPr>
      <w:spacing w:before="120" w:after="120"/>
    </w:pPr>
    <w:rPr>
      <w:color w:val="FFCD00" w:themeColor="accent1"/>
      <w:sz w:val="16"/>
      <w:szCs w:val="24"/>
    </w:rPr>
  </w:style>
  <w:style w:type="paragraph" w:styleId="Commentaire">
    <w:name w:val="annotation text"/>
    <w:basedOn w:val="Normal"/>
    <w:link w:val="CommentaireCar"/>
    <w:semiHidden/>
    <w:rsid w:val="0011500A"/>
  </w:style>
  <w:style w:type="character" w:customStyle="1" w:styleId="CommentaireCar">
    <w:name w:val="Commentaire Car"/>
    <w:basedOn w:val="Policepardfaut"/>
    <w:link w:val="Commentaire"/>
    <w:semiHidden/>
    <w:rsid w:val="0011500A"/>
    <w:rPr>
      <w:rFonts w:ascii="Arial" w:hAnsi="Arial"/>
      <w:color w:val="786E64" w:themeColor="accent2"/>
      <w:sz w:val="20"/>
    </w:rPr>
  </w:style>
  <w:style w:type="paragraph" w:styleId="TM1">
    <w:name w:val="toc 1"/>
    <w:basedOn w:val="Normal"/>
    <w:next w:val="Normal"/>
    <w:autoRedefine/>
    <w:uiPriority w:val="39"/>
    <w:rsid w:val="00CC1ECF"/>
    <w:pPr>
      <w:tabs>
        <w:tab w:val="right" w:leader="dot" w:pos="10194"/>
      </w:tabs>
      <w:spacing w:before="360" w:after="120"/>
    </w:pPr>
    <w:rPr>
      <w:rFonts w:ascii="Impact" w:hAnsi="Impact" w:cstheme="minorHAnsi"/>
      <w:bCs/>
      <w:caps/>
      <w:noProof/>
      <w:color w:val="FFCD00" w:themeColor="accent1"/>
      <w:sz w:val="28"/>
    </w:rPr>
  </w:style>
  <w:style w:type="paragraph" w:styleId="TM2">
    <w:name w:val="toc 2"/>
    <w:basedOn w:val="Normal"/>
    <w:next w:val="Normal"/>
    <w:autoRedefine/>
    <w:uiPriority w:val="39"/>
    <w:rsid w:val="00B6091B"/>
    <w:pPr>
      <w:ind w:left="200"/>
    </w:pPr>
    <w:rPr>
      <w:rFonts w:cstheme="minorHAnsi"/>
      <w:smallCaps/>
    </w:rPr>
  </w:style>
  <w:style w:type="paragraph" w:styleId="TM3">
    <w:name w:val="toc 3"/>
    <w:basedOn w:val="Normal"/>
    <w:next w:val="Normal"/>
    <w:autoRedefine/>
    <w:uiPriority w:val="39"/>
    <w:rsid w:val="00B6091B"/>
    <w:pPr>
      <w:tabs>
        <w:tab w:val="right" w:leader="dot" w:pos="10194"/>
      </w:tabs>
      <w:ind w:left="400"/>
    </w:pPr>
    <w:rPr>
      <w:rFonts w:cstheme="minorHAnsi"/>
      <w:iCs/>
      <w:noProof/>
    </w:rPr>
  </w:style>
  <w:style w:type="character" w:styleId="Lienhypertexte">
    <w:name w:val="Hyperlink"/>
    <w:basedOn w:val="Policepardfaut"/>
    <w:uiPriority w:val="99"/>
    <w:unhideWhenUsed/>
    <w:rsid w:val="0011500A"/>
    <w:rPr>
      <w:color w:val="000000" w:themeColor="hyperlink"/>
      <w:u w:val="single"/>
    </w:rPr>
  </w:style>
  <w:style w:type="paragraph" w:customStyle="1" w:styleId="Figure">
    <w:name w:val="Figure"/>
    <w:basedOn w:val="Normal"/>
    <w:next w:val="Normal"/>
    <w:qFormat/>
    <w:rsid w:val="0011500A"/>
    <w:pPr>
      <w:spacing w:before="240" w:after="240"/>
      <w:jc w:val="center"/>
    </w:pPr>
  </w:style>
  <w:style w:type="paragraph" w:customStyle="1" w:styleId="TitreDocumentNiveau3">
    <w:name w:val="Titre Document Niveau 3"/>
    <w:basedOn w:val="TitreDocumentNiveau2"/>
    <w:rsid w:val="00276DD8"/>
    <w:rPr>
      <w:noProof/>
      <w:color w:val="FFFFFF" w:themeColor="background1"/>
      <w:sz w:val="36"/>
    </w:rPr>
  </w:style>
  <w:style w:type="paragraph" w:customStyle="1" w:styleId="Pieddepagedegarde">
    <w:name w:val="Pied de page de garde"/>
    <w:basedOn w:val="PieddepageNumrotation"/>
    <w:rsid w:val="00584D9F"/>
    <w:pPr>
      <w:jc w:val="right"/>
    </w:pPr>
  </w:style>
  <w:style w:type="paragraph" w:styleId="TM4">
    <w:name w:val="toc 4"/>
    <w:basedOn w:val="Normal"/>
    <w:next w:val="Normal"/>
    <w:autoRedefine/>
    <w:uiPriority w:val="39"/>
    <w:semiHidden/>
    <w:rsid w:val="001D55DD"/>
    <w:pPr>
      <w:ind w:left="600"/>
    </w:pPr>
    <w:rPr>
      <w:rFonts w:asciiTheme="minorHAnsi" w:hAnsiTheme="minorHAnsi" w:cstheme="minorHAnsi"/>
      <w:sz w:val="18"/>
      <w:szCs w:val="18"/>
    </w:rPr>
  </w:style>
  <w:style w:type="paragraph" w:styleId="TM5">
    <w:name w:val="toc 5"/>
    <w:basedOn w:val="Normal"/>
    <w:next w:val="Normal"/>
    <w:autoRedefine/>
    <w:uiPriority w:val="39"/>
    <w:semiHidden/>
    <w:rsid w:val="001D55DD"/>
    <w:pPr>
      <w:ind w:left="800"/>
    </w:pPr>
    <w:rPr>
      <w:rFonts w:asciiTheme="minorHAnsi" w:hAnsiTheme="minorHAnsi" w:cstheme="minorHAnsi"/>
      <w:sz w:val="18"/>
      <w:szCs w:val="18"/>
    </w:rPr>
  </w:style>
  <w:style w:type="paragraph" w:styleId="TM6">
    <w:name w:val="toc 6"/>
    <w:basedOn w:val="Normal"/>
    <w:next w:val="Normal"/>
    <w:autoRedefine/>
    <w:uiPriority w:val="39"/>
    <w:semiHidden/>
    <w:rsid w:val="001D55DD"/>
    <w:pPr>
      <w:ind w:left="1000"/>
    </w:pPr>
    <w:rPr>
      <w:rFonts w:asciiTheme="minorHAnsi" w:hAnsiTheme="minorHAnsi" w:cstheme="minorHAnsi"/>
      <w:sz w:val="18"/>
      <w:szCs w:val="18"/>
    </w:rPr>
  </w:style>
  <w:style w:type="paragraph" w:styleId="TM7">
    <w:name w:val="toc 7"/>
    <w:basedOn w:val="Normal"/>
    <w:next w:val="Normal"/>
    <w:autoRedefine/>
    <w:uiPriority w:val="39"/>
    <w:semiHidden/>
    <w:rsid w:val="001D55DD"/>
    <w:pPr>
      <w:ind w:left="1200"/>
    </w:pPr>
    <w:rPr>
      <w:rFonts w:asciiTheme="minorHAnsi" w:hAnsiTheme="minorHAnsi" w:cstheme="minorHAnsi"/>
      <w:sz w:val="18"/>
      <w:szCs w:val="18"/>
    </w:rPr>
  </w:style>
  <w:style w:type="paragraph" w:styleId="TM8">
    <w:name w:val="toc 8"/>
    <w:basedOn w:val="Normal"/>
    <w:next w:val="Normal"/>
    <w:autoRedefine/>
    <w:uiPriority w:val="39"/>
    <w:semiHidden/>
    <w:rsid w:val="001D55DD"/>
    <w:pPr>
      <w:ind w:left="1400"/>
    </w:pPr>
    <w:rPr>
      <w:rFonts w:asciiTheme="minorHAnsi" w:hAnsiTheme="minorHAnsi" w:cstheme="minorHAnsi"/>
      <w:sz w:val="18"/>
      <w:szCs w:val="18"/>
    </w:rPr>
  </w:style>
  <w:style w:type="paragraph" w:styleId="TM9">
    <w:name w:val="toc 9"/>
    <w:basedOn w:val="Normal"/>
    <w:next w:val="Normal"/>
    <w:autoRedefine/>
    <w:uiPriority w:val="39"/>
    <w:semiHidden/>
    <w:rsid w:val="001D55DD"/>
    <w:pPr>
      <w:ind w:left="1600"/>
    </w:pPr>
    <w:rPr>
      <w:rFonts w:asciiTheme="minorHAnsi" w:hAnsiTheme="minorHAnsi" w:cstheme="minorHAnsi"/>
      <w:sz w:val="18"/>
      <w:szCs w:val="18"/>
    </w:rPr>
  </w:style>
  <w:style w:type="paragraph" w:styleId="Paragraphedeliste">
    <w:name w:val="List Paragraph"/>
    <w:basedOn w:val="Normal"/>
    <w:uiPriority w:val="34"/>
    <w:qFormat/>
    <w:rsid w:val="00C454F7"/>
    <w:pPr>
      <w:ind w:left="720"/>
      <w:contextualSpacing/>
    </w:pPr>
  </w:style>
  <w:style w:type="character" w:styleId="Mentionnonrsolue">
    <w:name w:val="Unresolved Mention"/>
    <w:basedOn w:val="Policepardfaut"/>
    <w:uiPriority w:val="99"/>
    <w:unhideWhenUsed/>
    <w:rsid w:val="00C82DDF"/>
    <w:rPr>
      <w:color w:val="605E5C"/>
      <w:shd w:val="clear" w:color="auto" w:fill="E1DFDD"/>
    </w:rPr>
  </w:style>
  <w:style w:type="character" w:styleId="Lienhypertextesuivivisit">
    <w:name w:val="FollowedHyperlink"/>
    <w:basedOn w:val="Policepardfaut"/>
    <w:uiPriority w:val="99"/>
    <w:semiHidden/>
    <w:unhideWhenUsed/>
    <w:rsid w:val="00C82DDF"/>
    <w:rPr>
      <w:color w:val="000000" w:themeColor="followedHyperlink"/>
      <w:u w:val="single"/>
    </w:rPr>
  </w:style>
  <w:style w:type="character" w:styleId="Marquedecommentaire">
    <w:name w:val="annotation reference"/>
    <w:basedOn w:val="Policepardfaut"/>
    <w:uiPriority w:val="99"/>
    <w:semiHidden/>
    <w:unhideWhenUsed/>
    <w:rsid w:val="005D07C7"/>
    <w:rPr>
      <w:sz w:val="16"/>
      <w:szCs w:val="16"/>
    </w:rPr>
  </w:style>
  <w:style w:type="paragraph" w:styleId="Objetducommentaire">
    <w:name w:val="annotation subject"/>
    <w:basedOn w:val="Commentaire"/>
    <w:next w:val="Commentaire"/>
    <w:link w:val="ObjetducommentaireCar"/>
    <w:uiPriority w:val="99"/>
    <w:semiHidden/>
    <w:unhideWhenUsed/>
    <w:rsid w:val="005D07C7"/>
    <w:pPr>
      <w:spacing w:line="240" w:lineRule="auto"/>
    </w:pPr>
    <w:rPr>
      <w:b/>
      <w:bCs/>
    </w:rPr>
  </w:style>
  <w:style w:type="character" w:customStyle="1" w:styleId="ObjetducommentaireCar">
    <w:name w:val="Objet du commentaire Car"/>
    <w:basedOn w:val="CommentaireCar"/>
    <w:link w:val="Objetducommentaire"/>
    <w:uiPriority w:val="99"/>
    <w:semiHidden/>
    <w:rsid w:val="005D07C7"/>
    <w:rPr>
      <w:rFonts w:ascii="Arial" w:hAnsi="Arial"/>
      <w:b/>
      <w:bCs/>
      <w:color w:val="786E64" w:themeColor="accent2"/>
      <w:sz w:val="20"/>
    </w:rPr>
  </w:style>
  <w:style w:type="paragraph" w:styleId="Notedebasdepage">
    <w:name w:val="footnote text"/>
    <w:basedOn w:val="Normal"/>
    <w:link w:val="NotedebasdepageCar"/>
    <w:uiPriority w:val="99"/>
    <w:unhideWhenUsed/>
    <w:rsid w:val="00A974AB"/>
    <w:pPr>
      <w:spacing w:line="240" w:lineRule="auto"/>
    </w:pPr>
  </w:style>
  <w:style w:type="character" w:customStyle="1" w:styleId="NotedebasdepageCar">
    <w:name w:val="Note de bas de page Car"/>
    <w:basedOn w:val="Policepardfaut"/>
    <w:link w:val="Notedebasdepage"/>
    <w:uiPriority w:val="99"/>
    <w:rsid w:val="00A974AB"/>
  </w:style>
  <w:style w:type="character" w:styleId="Appelnotedebasdep">
    <w:name w:val="footnote reference"/>
    <w:basedOn w:val="Policepardfaut"/>
    <w:unhideWhenUsed/>
    <w:rsid w:val="00A974AB"/>
    <w:rPr>
      <w:vertAlign w:val="superscript"/>
    </w:rPr>
  </w:style>
  <w:style w:type="paragraph" w:styleId="Rvision">
    <w:name w:val="Revision"/>
    <w:hidden/>
    <w:uiPriority w:val="99"/>
    <w:semiHidden/>
    <w:rsid w:val="000A2D2B"/>
    <w:pPr>
      <w:spacing w:after="0" w:line="240" w:lineRule="auto"/>
    </w:pPr>
  </w:style>
  <w:style w:type="table" w:styleId="TableauGrille1Clair-Accentuation1">
    <w:name w:val="Grid Table 1 Light Accent 1"/>
    <w:basedOn w:val="TableauNormal"/>
    <w:uiPriority w:val="46"/>
    <w:rsid w:val="006C1EA5"/>
    <w:pPr>
      <w:spacing w:after="0" w:line="240" w:lineRule="auto"/>
    </w:pPr>
    <w:tblPr>
      <w:tblStyleRowBandSize w:val="1"/>
      <w:tblStyleColBandSize w:val="1"/>
      <w:tblBorders>
        <w:top w:val="single" w:sz="4" w:space="0" w:color="FFEB99" w:themeColor="accent1" w:themeTint="66"/>
        <w:left w:val="single" w:sz="4" w:space="0" w:color="FFEB99" w:themeColor="accent1" w:themeTint="66"/>
        <w:bottom w:val="single" w:sz="4" w:space="0" w:color="FFEB99" w:themeColor="accent1" w:themeTint="66"/>
        <w:right w:val="single" w:sz="4" w:space="0" w:color="FFEB99" w:themeColor="accent1" w:themeTint="66"/>
        <w:insideH w:val="single" w:sz="4" w:space="0" w:color="FFEB99" w:themeColor="accent1" w:themeTint="66"/>
        <w:insideV w:val="single" w:sz="4" w:space="0" w:color="FFEB99" w:themeColor="accent1" w:themeTint="66"/>
      </w:tblBorders>
    </w:tblPr>
    <w:tblStylePr w:type="firstRow">
      <w:rPr>
        <w:b/>
        <w:bCs/>
      </w:rPr>
      <w:tblPr/>
      <w:tcPr>
        <w:tcBorders>
          <w:bottom w:val="single" w:sz="12" w:space="0" w:color="FFE166" w:themeColor="accent1" w:themeTint="99"/>
        </w:tcBorders>
      </w:tcPr>
    </w:tblStylePr>
    <w:tblStylePr w:type="lastRow">
      <w:rPr>
        <w:b/>
        <w:bCs/>
      </w:rPr>
      <w:tblPr/>
      <w:tcPr>
        <w:tcBorders>
          <w:top w:val="double" w:sz="2" w:space="0" w:color="FFE166" w:themeColor="accent1" w:themeTint="99"/>
        </w:tcBorders>
      </w:tcPr>
    </w:tblStylePr>
    <w:tblStylePr w:type="firstCol">
      <w:rPr>
        <w:b/>
        <w:bCs/>
      </w:rPr>
    </w:tblStylePr>
    <w:tblStylePr w:type="lastCol">
      <w:rPr>
        <w:b/>
        <w:bCs/>
      </w:rPr>
    </w:tblStylePr>
  </w:style>
  <w:style w:type="table" w:styleId="TableauListe3-Accentuation1">
    <w:name w:val="List Table 3 Accent 1"/>
    <w:basedOn w:val="TableauNormal"/>
    <w:uiPriority w:val="48"/>
    <w:rsid w:val="006C1EA5"/>
    <w:pPr>
      <w:spacing w:after="0" w:line="240" w:lineRule="auto"/>
    </w:pPr>
    <w:tblPr>
      <w:tblStyleRowBandSize w:val="1"/>
      <w:tblStyleColBandSize w:val="1"/>
      <w:tblBorders>
        <w:top w:val="single" w:sz="4" w:space="0" w:color="FFCD00" w:themeColor="accent1"/>
        <w:left w:val="single" w:sz="4" w:space="0" w:color="FFCD00" w:themeColor="accent1"/>
        <w:bottom w:val="single" w:sz="4" w:space="0" w:color="FFCD00" w:themeColor="accent1"/>
        <w:right w:val="single" w:sz="4" w:space="0" w:color="FFCD00" w:themeColor="accent1"/>
      </w:tblBorders>
    </w:tblPr>
    <w:tblStylePr w:type="firstRow">
      <w:rPr>
        <w:b/>
        <w:bCs/>
        <w:color w:val="FFFFFF" w:themeColor="background1"/>
      </w:rPr>
      <w:tblPr/>
      <w:tcPr>
        <w:shd w:val="clear" w:color="auto" w:fill="FFCD00" w:themeFill="accent1"/>
      </w:tcPr>
    </w:tblStylePr>
    <w:tblStylePr w:type="lastRow">
      <w:rPr>
        <w:b/>
        <w:bCs/>
      </w:rPr>
      <w:tblPr/>
      <w:tcPr>
        <w:tcBorders>
          <w:top w:val="double" w:sz="4" w:space="0" w:color="FFCD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D00" w:themeColor="accent1"/>
          <w:right w:val="single" w:sz="4" w:space="0" w:color="FFCD00" w:themeColor="accent1"/>
        </w:tcBorders>
      </w:tcPr>
    </w:tblStylePr>
    <w:tblStylePr w:type="band1Horz">
      <w:tblPr/>
      <w:tcPr>
        <w:tcBorders>
          <w:top w:val="single" w:sz="4" w:space="0" w:color="FFCD00" w:themeColor="accent1"/>
          <w:bottom w:val="single" w:sz="4" w:space="0" w:color="FFCD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D00" w:themeColor="accent1"/>
          <w:left w:val="nil"/>
        </w:tcBorders>
      </w:tcPr>
    </w:tblStylePr>
    <w:tblStylePr w:type="swCell">
      <w:tblPr/>
      <w:tcPr>
        <w:tcBorders>
          <w:top w:val="double" w:sz="4" w:space="0" w:color="FFCD00" w:themeColor="accent1"/>
          <w:right w:val="nil"/>
        </w:tcBorders>
      </w:tcPr>
    </w:tblStylePr>
  </w:style>
  <w:style w:type="table" w:styleId="TableauListe3-Accentuation2">
    <w:name w:val="List Table 3 Accent 2"/>
    <w:basedOn w:val="TableauNormal"/>
    <w:uiPriority w:val="48"/>
    <w:rsid w:val="00615DC9"/>
    <w:pPr>
      <w:spacing w:after="0" w:line="240" w:lineRule="auto"/>
    </w:pPr>
    <w:tblPr>
      <w:tblStyleRowBandSize w:val="1"/>
      <w:tblStyleColBandSize w:val="1"/>
      <w:tblBorders>
        <w:top w:val="single" w:sz="4" w:space="0" w:color="786E64" w:themeColor="accent2"/>
        <w:left w:val="single" w:sz="4" w:space="0" w:color="786E64" w:themeColor="accent2"/>
        <w:bottom w:val="single" w:sz="4" w:space="0" w:color="786E64" w:themeColor="accent2"/>
        <w:right w:val="single" w:sz="4" w:space="0" w:color="786E64" w:themeColor="accent2"/>
      </w:tblBorders>
    </w:tblPr>
    <w:tblStylePr w:type="firstRow">
      <w:rPr>
        <w:b/>
        <w:bCs/>
        <w:color w:val="FFFFFF" w:themeColor="background1"/>
      </w:rPr>
      <w:tblPr/>
      <w:tcPr>
        <w:shd w:val="clear" w:color="auto" w:fill="786E64" w:themeFill="accent2"/>
      </w:tcPr>
    </w:tblStylePr>
    <w:tblStylePr w:type="lastRow">
      <w:rPr>
        <w:b/>
        <w:bCs/>
      </w:rPr>
      <w:tblPr/>
      <w:tcPr>
        <w:tcBorders>
          <w:top w:val="double" w:sz="4" w:space="0" w:color="786E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6E64" w:themeColor="accent2"/>
          <w:right w:val="single" w:sz="4" w:space="0" w:color="786E64" w:themeColor="accent2"/>
        </w:tcBorders>
      </w:tcPr>
    </w:tblStylePr>
    <w:tblStylePr w:type="band1Horz">
      <w:tblPr/>
      <w:tcPr>
        <w:tcBorders>
          <w:top w:val="single" w:sz="4" w:space="0" w:color="786E64" w:themeColor="accent2"/>
          <w:bottom w:val="single" w:sz="4" w:space="0" w:color="786E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6E64" w:themeColor="accent2"/>
          <w:left w:val="nil"/>
        </w:tcBorders>
      </w:tcPr>
    </w:tblStylePr>
    <w:tblStylePr w:type="swCell">
      <w:tblPr/>
      <w:tcPr>
        <w:tcBorders>
          <w:top w:val="double" w:sz="4" w:space="0" w:color="786E64" w:themeColor="accent2"/>
          <w:right w:val="nil"/>
        </w:tcBorders>
      </w:tcPr>
    </w:tblStylePr>
  </w:style>
  <w:style w:type="paragraph" w:customStyle="1" w:styleId="paragraph">
    <w:name w:val="paragraph"/>
    <w:basedOn w:val="Normal"/>
    <w:rsid w:val="001E12EF"/>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character" w:customStyle="1" w:styleId="normaltextrun">
    <w:name w:val="normaltextrun"/>
    <w:basedOn w:val="Policepardfaut"/>
    <w:rsid w:val="001E12EF"/>
  </w:style>
  <w:style w:type="character" w:customStyle="1" w:styleId="eop">
    <w:name w:val="eop"/>
    <w:basedOn w:val="Policepardfaut"/>
    <w:rsid w:val="001E12EF"/>
  </w:style>
  <w:style w:type="character" w:customStyle="1" w:styleId="findhit">
    <w:name w:val="findhit"/>
    <w:basedOn w:val="Policepardfaut"/>
    <w:rsid w:val="001E12EF"/>
  </w:style>
  <w:style w:type="character" w:customStyle="1" w:styleId="superscript">
    <w:name w:val="superscript"/>
    <w:basedOn w:val="Policepardfaut"/>
    <w:rsid w:val="001E12EF"/>
  </w:style>
  <w:style w:type="paragraph" w:customStyle="1" w:styleId="Default">
    <w:name w:val="Default"/>
    <w:rsid w:val="008522FD"/>
    <w:pPr>
      <w:autoSpaceDE w:val="0"/>
      <w:autoSpaceDN w:val="0"/>
      <w:adjustRightInd w:val="0"/>
      <w:spacing w:after="0" w:line="240" w:lineRule="auto"/>
    </w:pPr>
    <w:rPr>
      <w:rFonts w:cs="Arial"/>
      <w:color w:val="000000"/>
      <w:sz w:val="24"/>
      <w:szCs w:val="24"/>
    </w:rPr>
  </w:style>
  <w:style w:type="character" w:styleId="lev">
    <w:name w:val="Strong"/>
    <w:basedOn w:val="Policepardfaut"/>
    <w:uiPriority w:val="22"/>
    <w:qFormat/>
    <w:rsid w:val="00EB10AB"/>
    <w:rPr>
      <w:b/>
      <w:bCs/>
    </w:rPr>
  </w:style>
  <w:style w:type="table" w:styleId="TableauGrille5Fonc-Accentuation1">
    <w:name w:val="Grid Table 5 Dark Accent 1"/>
    <w:basedOn w:val="TableauNormal"/>
    <w:uiPriority w:val="50"/>
    <w:rsid w:val="00EB76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D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D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D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D00" w:themeFill="accent1"/>
      </w:tcPr>
    </w:tblStylePr>
    <w:tblStylePr w:type="band1Vert">
      <w:tblPr/>
      <w:tcPr>
        <w:shd w:val="clear" w:color="auto" w:fill="FFEB99" w:themeFill="accent1" w:themeFillTint="66"/>
      </w:tcPr>
    </w:tblStylePr>
    <w:tblStylePr w:type="band1Horz">
      <w:tblPr/>
      <w:tcPr>
        <w:shd w:val="clear" w:color="auto" w:fill="FFEB99" w:themeFill="accent1" w:themeFillTint="66"/>
      </w:tcPr>
    </w:tblStylePr>
  </w:style>
  <w:style w:type="table" w:styleId="TableauGrille4-Accentuation1">
    <w:name w:val="Grid Table 4 Accent 1"/>
    <w:basedOn w:val="TableauNormal"/>
    <w:uiPriority w:val="49"/>
    <w:rsid w:val="00EB766D"/>
    <w:pPr>
      <w:spacing w:after="0" w:line="240" w:lineRule="auto"/>
    </w:pPr>
    <w:tblPr>
      <w:tblStyleRowBandSize w:val="1"/>
      <w:tblStyleColBandSize w:val="1"/>
      <w:tblBorders>
        <w:top w:val="single" w:sz="4" w:space="0" w:color="FFE166" w:themeColor="accent1" w:themeTint="99"/>
        <w:left w:val="single" w:sz="4" w:space="0" w:color="FFE166" w:themeColor="accent1" w:themeTint="99"/>
        <w:bottom w:val="single" w:sz="4" w:space="0" w:color="FFE166" w:themeColor="accent1" w:themeTint="99"/>
        <w:right w:val="single" w:sz="4" w:space="0" w:color="FFE166" w:themeColor="accent1" w:themeTint="99"/>
        <w:insideH w:val="single" w:sz="4" w:space="0" w:color="FFE166" w:themeColor="accent1" w:themeTint="99"/>
        <w:insideV w:val="single" w:sz="4" w:space="0" w:color="FFE166" w:themeColor="accent1" w:themeTint="99"/>
      </w:tblBorders>
    </w:tblPr>
    <w:tblStylePr w:type="firstRow">
      <w:rPr>
        <w:b/>
        <w:bCs/>
        <w:color w:val="FFFFFF" w:themeColor="background1"/>
      </w:rPr>
      <w:tblPr/>
      <w:tcPr>
        <w:tcBorders>
          <w:top w:val="single" w:sz="4" w:space="0" w:color="FFCD00" w:themeColor="accent1"/>
          <w:left w:val="single" w:sz="4" w:space="0" w:color="FFCD00" w:themeColor="accent1"/>
          <w:bottom w:val="single" w:sz="4" w:space="0" w:color="FFCD00" w:themeColor="accent1"/>
          <w:right w:val="single" w:sz="4" w:space="0" w:color="FFCD00" w:themeColor="accent1"/>
          <w:insideH w:val="nil"/>
          <w:insideV w:val="nil"/>
        </w:tcBorders>
        <w:shd w:val="clear" w:color="auto" w:fill="FFCD00" w:themeFill="accent1"/>
      </w:tcPr>
    </w:tblStylePr>
    <w:tblStylePr w:type="lastRow">
      <w:rPr>
        <w:b/>
        <w:bCs/>
      </w:rPr>
      <w:tblPr/>
      <w:tcPr>
        <w:tcBorders>
          <w:top w:val="double" w:sz="4" w:space="0" w:color="FFCD00" w:themeColor="accent1"/>
        </w:tcBorders>
      </w:tcPr>
    </w:tblStylePr>
    <w:tblStylePr w:type="firstCol">
      <w:rPr>
        <w:b/>
        <w:bCs/>
      </w:rPr>
    </w:tblStylePr>
    <w:tblStylePr w:type="lastCol">
      <w:rPr>
        <w:b/>
        <w:bCs/>
      </w:rPr>
    </w:tblStylePr>
    <w:tblStylePr w:type="band1Vert">
      <w:tblPr/>
      <w:tcPr>
        <w:shd w:val="clear" w:color="auto" w:fill="FFF5CC" w:themeFill="accent1" w:themeFillTint="33"/>
      </w:tcPr>
    </w:tblStylePr>
    <w:tblStylePr w:type="band1Horz">
      <w:tblPr/>
      <w:tcPr>
        <w:shd w:val="clear" w:color="auto" w:fill="FFF5CC" w:themeFill="accent1" w:themeFillTint="33"/>
      </w:tcPr>
    </w:tblStylePr>
  </w:style>
  <w:style w:type="paragraph" w:styleId="Sous-titre">
    <w:name w:val="Subtitle"/>
    <w:basedOn w:val="Normal"/>
    <w:next w:val="Normal"/>
    <w:link w:val="Sous-titreCar"/>
    <w:uiPriority w:val="11"/>
    <w:qFormat/>
    <w:rsid w:val="001326E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ous-titreCar">
    <w:name w:val="Sous-titre Car"/>
    <w:basedOn w:val="Policepardfaut"/>
    <w:link w:val="Sous-titre"/>
    <w:uiPriority w:val="11"/>
    <w:rsid w:val="001326EC"/>
    <w:rPr>
      <w:rFonts w:asciiTheme="minorHAnsi" w:eastAsiaTheme="minorEastAsia" w:hAnsiTheme="minorHAnsi"/>
      <w:color w:val="5A5A5A" w:themeColor="text1" w:themeTint="A5"/>
      <w:spacing w:val="15"/>
      <w:sz w:val="22"/>
      <w:szCs w:val="22"/>
    </w:rPr>
  </w:style>
  <w:style w:type="table" w:styleId="TableauGrille4-Accentuation6">
    <w:name w:val="Grid Table 4 Accent 6"/>
    <w:basedOn w:val="TableauNormal"/>
    <w:uiPriority w:val="49"/>
    <w:rsid w:val="00053E0D"/>
    <w:pPr>
      <w:spacing w:after="0" w:line="240" w:lineRule="auto"/>
    </w:pPr>
    <w:tblPr>
      <w:tblStyleRowBandSize w:val="1"/>
      <w:tblStyleColBandSize w:val="1"/>
      <w:tblBorders>
        <w:top w:val="single" w:sz="4" w:space="0" w:color="FFAE5A" w:themeColor="accent6" w:themeTint="99"/>
        <w:left w:val="single" w:sz="4" w:space="0" w:color="FFAE5A" w:themeColor="accent6" w:themeTint="99"/>
        <w:bottom w:val="single" w:sz="4" w:space="0" w:color="FFAE5A" w:themeColor="accent6" w:themeTint="99"/>
        <w:right w:val="single" w:sz="4" w:space="0" w:color="FFAE5A" w:themeColor="accent6" w:themeTint="99"/>
        <w:insideH w:val="single" w:sz="4" w:space="0" w:color="FFAE5A" w:themeColor="accent6" w:themeTint="99"/>
        <w:insideV w:val="single" w:sz="4" w:space="0" w:color="FFAE5A" w:themeColor="accent6" w:themeTint="99"/>
      </w:tblBorders>
    </w:tblPr>
    <w:tblStylePr w:type="firstRow">
      <w:rPr>
        <w:b/>
        <w:bCs/>
        <w:color w:val="FFFFFF" w:themeColor="background1"/>
      </w:rPr>
      <w:tblPr/>
      <w:tcPr>
        <w:tcBorders>
          <w:top w:val="single" w:sz="4" w:space="0" w:color="EB7800" w:themeColor="accent6"/>
          <w:left w:val="single" w:sz="4" w:space="0" w:color="EB7800" w:themeColor="accent6"/>
          <w:bottom w:val="single" w:sz="4" w:space="0" w:color="EB7800" w:themeColor="accent6"/>
          <w:right w:val="single" w:sz="4" w:space="0" w:color="EB7800" w:themeColor="accent6"/>
          <w:insideH w:val="nil"/>
          <w:insideV w:val="nil"/>
        </w:tcBorders>
        <w:shd w:val="clear" w:color="auto" w:fill="EB7800" w:themeFill="accent6"/>
      </w:tcPr>
    </w:tblStylePr>
    <w:tblStylePr w:type="lastRow">
      <w:rPr>
        <w:b/>
        <w:bCs/>
      </w:rPr>
      <w:tblPr/>
      <w:tcPr>
        <w:tcBorders>
          <w:top w:val="double" w:sz="4" w:space="0" w:color="EB7800" w:themeColor="accent6"/>
        </w:tcBorders>
      </w:tcPr>
    </w:tblStylePr>
    <w:tblStylePr w:type="firstCol">
      <w:rPr>
        <w:b/>
        <w:bCs/>
      </w:rPr>
    </w:tblStylePr>
    <w:tblStylePr w:type="lastCol">
      <w:rPr>
        <w:b/>
        <w:bCs/>
      </w:rPr>
    </w:tblStylePr>
    <w:tblStylePr w:type="band1Vert">
      <w:tblPr/>
      <w:tcPr>
        <w:shd w:val="clear" w:color="auto" w:fill="FFE4C8" w:themeFill="accent6" w:themeFillTint="33"/>
      </w:tcPr>
    </w:tblStylePr>
    <w:tblStylePr w:type="band1Horz">
      <w:tblPr/>
      <w:tcPr>
        <w:shd w:val="clear" w:color="auto" w:fill="FFE4C8" w:themeFill="accent6" w:themeFillTint="33"/>
      </w:tcPr>
    </w:tblStylePr>
  </w:style>
  <w:style w:type="table" w:styleId="TableauGrille5Fonc-Accentuation2">
    <w:name w:val="Grid Table 5 Dark Accent 2"/>
    <w:basedOn w:val="TableauNormal"/>
    <w:uiPriority w:val="50"/>
    <w:rsid w:val="00053E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1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6E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6E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6E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6E64" w:themeFill="accent2"/>
      </w:tcPr>
    </w:tblStylePr>
    <w:tblStylePr w:type="band1Vert">
      <w:tblPr/>
      <w:tcPr>
        <w:shd w:val="clear" w:color="auto" w:fill="CAC4BF" w:themeFill="accent2" w:themeFillTint="66"/>
      </w:tcPr>
    </w:tblStylePr>
    <w:tblStylePr w:type="band1Horz">
      <w:tblPr/>
      <w:tcPr>
        <w:shd w:val="clear" w:color="auto" w:fill="CAC4BF" w:themeFill="accent2" w:themeFillTint="66"/>
      </w:tcPr>
    </w:tblStylePr>
  </w:style>
  <w:style w:type="character" w:styleId="Rfrencelgre">
    <w:name w:val="Subtle Reference"/>
    <w:basedOn w:val="Policepardfaut"/>
    <w:uiPriority w:val="31"/>
    <w:qFormat/>
    <w:rsid w:val="00454B78"/>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590554">
      <w:bodyDiv w:val="1"/>
      <w:marLeft w:val="0"/>
      <w:marRight w:val="0"/>
      <w:marTop w:val="0"/>
      <w:marBottom w:val="0"/>
      <w:divBdr>
        <w:top w:val="none" w:sz="0" w:space="0" w:color="auto"/>
        <w:left w:val="none" w:sz="0" w:space="0" w:color="auto"/>
        <w:bottom w:val="none" w:sz="0" w:space="0" w:color="auto"/>
        <w:right w:val="none" w:sz="0" w:space="0" w:color="auto"/>
      </w:divBdr>
    </w:div>
    <w:div w:id="676537557">
      <w:bodyDiv w:val="1"/>
      <w:marLeft w:val="0"/>
      <w:marRight w:val="0"/>
      <w:marTop w:val="0"/>
      <w:marBottom w:val="0"/>
      <w:divBdr>
        <w:top w:val="none" w:sz="0" w:space="0" w:color="auto"/>
        <w:left w:val="none" w:sz="0" w:space="0" w:color="auto"/>
        <w:bottom w:val="none" w:sz="0" w:space="0" w:color="auto"/>
        <w:right w:val="none" w:sz="0" w:space="0" w:color="auto"/>
      </w:divBdr>
    </w:div>
    <w:div w:id="704328001">
      <w:bodyDiv w:val="1"/>
      <w:marLeft w:val="0"/>
      <w:marRight w:val="0"/>
      <w:marTop w:val="0"/>
      <w:marBottom w:val="0"/>
      <w:divBdr>
        <w:top w:val="none" w:sz="0" w:space="0" w:color="auto"/>
        <w:left w:val="none" w:sz="0" w:space="0" w:color="auto"/>
        <w:bottom w:val="none" w:sz="0" w:space="0" w:color="auto"/>
        <w:right w:val="none" w:sz="0" w:space="0" w:color="auto"/>
      </w:divBdr>
    </w:div>
    <w:div w:id="809977327">
      <w:bodyDiv w:val="1"/>
      <w:marLeft w:val="0"/>
      <w:marRight w:val="0"/>
      <w:marTop w:val="0"/>
      <w:marBottom w:val="0"/>
      <w:divBdr>
        <w:top w:val="none" w:sz="0" w:space="0" w:color="auto"/>
        <w:left w:val="none" w:sz="0" w:space="0" w:color="auto"/>
        <w:bottom w:val="none" w:sz="0" w:space="0" w:color="auto"/>
        <w:right w:val="none" w:sz="0" w:space="0" w:color="auto"/>
      </w:divBdr>
      <w:divsChild>
        <w:div w:id="310864107">
          <w:marLeft w:val="0"/>
          <w:marRight w:val="0"/>
          <w:marTop w:val="0"/>
          <w:marBottom w:val="0"/>
          <w:divBdr>
            <w:top w:val="none" w:sz="0" w:space="0" w:color="auto"/>
            <w:left w:val="none" w:sz="0" w:space="0" w:color="auto"/>
            <w:bottom w:val="none" w:sz="0" w:space="0" w:color="auto"/>
            <w:right w:val="none" w:sz="0" w:space="0" w:color="auto"/>
          </w:divBdr>
        </w:div>
        <w:div w:id="1181163657">
          <w:marLeft w:val="0"/>
          <w:marRight w:val="0"/>
          <w:marTop w:val="0"/>
          <w:marBottom w:val="0"/>
          <w:divBdr>
            <w:top w:val="none" w:sz="0" w:space="0" w:color="auto"/>
            <w:left w:val="none" w:sz="0" w:space="0" w:color="auto"/>
            <w:bottom w:val="none" w:sz="0" w:space="0" w:color="auto"/>
            <w:right w:val="none" w:sz="0" w:space="0" w:color="auto"/>
          </w:divBdr>
          <w:divsChild>
            <w:div w:id="780106845">
              <w:marLeft w:val="0"/>
              <w:marRight w:val="0"/>
              <w:marTop w:val="0"/>
              <w:marBottom w:val="0"/>
              <w:divBdr>
                <w:top w:val="none" w:sz="0" w:space="0" w:color="auto"/>
                <w:left w:val="none" w:sz="0" w:space="0" w:color="auto"/>
                <w:bottom w:val="none" w:sz="0" w:space="0" w:color="auto"/>
                <w:right w:val="none" w:sz="0" w:space="0" w:color="auto"/>
              </w:divBdr>
            </w:div>
            <w:div w:id="842822763">
              <w:marLeft w:val="0"/>
              <w:marRight w:val="0"/>
              <w:marTop w:val="0"/>
              <w:marBottom w:val="0"/>
              <w:divBdr>
                <w:top w:val="none" w:sz="0" w:space="0" w:color="auto"/>
                <w:left w:val="none" w:sz="0" w:space="0" w:color="auto"/>
                <w:bottom w:val="none" w:sz="0" w:space="0" w:color="auto"/>
                <w:right w:val="none" w:sz="0" w:space="0" w:color="auto"/>
              </w:divBdr>
            </w:div>
            <w:div w:id="1449275941">
              <w:marLeft w:val="0"/>
              <w:marRight w:val="0"/>
              <w:marTop w:val="0"/>
              <w:marBottom w:val="0"/>
              <w:divBdr>
                <w:top w:val="none" w:sz="0" w:space="0" w:color="auto"/>
                <w:left w:val="none" w:sz="0" w:space="0" w:color="auto"/>
                <w:bottom w:val="none" w:sz="0" w:space="0" w:color="auto"/>
                <w:right w:val="none" w:sz="0" w:space="0" w:color="auto"/>
              </w:divBdr>
            </w:div>
            <w:div w:id="1593857508">
              <w:marLeft w:val="0"/>
              <w:marRight w:val="0"/>
              <w:marTop w:val="0"/>
              <w:marBottom w:val="0"/>
              <w:divBdr>
                <w:top w:val="none" w:sz="0" w:space="0" w:color="auto"/>
                <w:left w:val="none" w:sz="0" w:space="0" w:color="auto"/>
                <w:bottom w:val="none" w:sz="0" w:space="0" w:color="auto"/>
                <w:right w:val="none" w:sz="0" w:space="0" w:color="auto"/>
              </w:divBdr>
            </w:div>
          </w:divsChild>
        </w:div>
        <w:div w:id="1237591614">
          <w:marLeft w:val="0"/>
          <w:marRight w:val="0"/>
          <w:marTop w:val="0"/>
          <w:marBottom w:val="0"/>
          <w:divBdr>
            <w:top w:val="none" w:sz="0" w:space="0" w:color="auto"/>
            <w:left w:val="none" w:sz="0" w:space="0" w:color="auto"/>
            <w:bottom w:val="none" w:sz="0" w:space="0" w:color="auto"/>
            <w:right w:val="none" w:sz="0" w:space="0" w:color="auto"/>
          </w:divBdr>
        </w:div>
        <w:div w:id="2053648930">
          <w:marLeft w:val="0"/>
          <w:marRight w:val="0"/>
          <w:marTop w:val="0"/>
          <w:marBottom w:val="0"/>
          <w:divBdr>
            <w:top w:val="none" w:sz="0" w:space="0" w:color="auto"/>
            <w:left w:val="none" w:sz="0" w:space="0" w:color="auto"/>
            <w:bottom w:val="none" w:sz="0" w:space="0" w:color="auto"/>
            <w:right w:val="none" w:sz="0" w:space="0" w:color="auto"/>
          </w:divBdr>
          <w:divsChild>
            <w:div w:id="1075277977">
              <w:marLeft w:val="0"/>
              <w:marRight w:val="0"/>
              <w:marTop w:val="0"/>
              <w:marBottom w:val="0"/>
              <w:divBdr>
                <w:top w:val="none" w:sz="0" w:space="0" w:color="auto"/>
                <w:left w:val="none" w:sz="0" w:space="0" w:color="auto"/>
                <w:bottom w:val="none" w:sz="0" w:space="0" w:color="auto"/>
                <w:right w:val="none" w:sz="0" w:space="0" w:color="auto"/>
              </w:divBdr>
            </w:div>
            <w:div w:id="1210999573">
              <w:marLeft w:val="0"/>
              <w:marRight w:val="0"/>
              <w:marTop w:val="0"/>
              <w:marBottom w:val="0"/>
              <w:divBdr>
                <w:top w:val="none" w:sz="0" w:space="0" w:color="auto"/>
                <w:left w:val="none" w:sz="0" w:space="0" w:color="auto"/>
                <w:bottom w:val="none" w:sz="0" w:space="0" w:color="auto"/>
                <w:right w:val="none" w:sz="0" w:space="0" w:color="auto"/>
              </w:divBdr>
            </w:div>
            <w:div w:id="1405760232">
              <w:marLeft w:val="0"/>
              <w:marRight w:val="0"/>
              <w:marTop w:val="0"/>
              <w:marBottom w:val="0"/>
              <w:divBdr>
                <w:top w:val="none" w:sz="0" w:space="0" w:color="auto"/>
                <w:left w:val="none" w:sz="0" w:space="0" w:color="auto"/>
                <w:bottom w:val="none" w:sz="0" w:space="0" w:color="auto"/>
                <w:right w:val="none" w:sz="0" w:space="0" w:color="auto"/>
              </w:divBdr>
            </w:div>
            <w:div w:id="167873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39885">
      <w:bodyDiv w:val="1"/>
      <w:marLeft w:val="0"/>
      <w:marRight w:val="0"/>
      <w:marTop w:val="0"/>
      <w:marBottom w:val="0"/>
      <w:divBdr>
        <w:top w:val="none" w:sz="0" w:space="0" w:color="auto"/>
        <w:left w:val="none" w:sz="0" w:space="0" w:color="auto"/>
        <w:bottom w:val="none" w:sz="0" w:space="0" w:color="auto"/>
        <w:right w:val="none" w:sz="0" w:space="0" w:color="auto"/>
      </w:divBdr>
    </w:div>
    <w:div w:id="1012491330">
      <w:bodyDiv w:val="1"/>
      <w:marLeft w:val="0"/>
      <w:marRight w:val="0"/>
      <w:marTop w:val="0"/>
      <w:marBottom w:val="0"/>
      <w:divBdr>
        <w:top w:val="none" w:sz="0" w:space="0" w:color="auto"/>
        <w:left w:val="none" w:sz="0" w:space="0" w:color="auto"/>
        <w:bottom w:val="none" w:sz="0" w:space="0" w:color="auto"/>
        <w:right w:val="none" w:sz="0" w:space="0" w:color="auto"/>
      </w:divBdr>
      <w:divsChild>
        <w:div w:id="64257318">
          <w:marLeft w:val="1800"/>
          <w:marRight w:val="0"/>
          <w:marTop w:val="0"/>
          <w:marBottom w:val="120"/>
          <w:divBdr>
            <w:top w:val="none" w:sz="0" w:space="0" w:color="auto"/>
            <w:left w:val="none" w:sz="0" w:space="0" w:color="auto"/>
            <w:bottom w:val="none" w:sz="0" w:space="0" w:color="auto"/>
            <w:right w:val="none" w:sz="0" w:space="0" w:color="auto"/>
          </w:divBdr>
        </w:div>
        <w:div w:id="83111790">
          <w:marLeft w:val="1800"/>
          <w:marRight w:val="0"/>
          <w:marTop w:val="0"/>
          <w:marBottom w:val="120"/>
          <w:divBdr>
            <w:top w:val="none" w:sz="0" w:space="0" w:color="auto"/>
            <w:left w:val="none" w:sz="0" w:space="0" w:color="auto"/>
            <w:bottom w:val="none" w:sz="0" w:space="0" w:color="auto"/>
            <w:right w:val="none" w:sz="0" w:space="0" w:color="auto"/>
          </w:divBdr>
        </w:div>
        <w:div w:id="212892337">
          <w:marLeft w:val="1800"/>
          <w:marRight w:val="0"/>
          <w:marTop w:val="0"/>
          <w:marBottom w:val="120"/>
          <w:divBdr>
            <w:top w:val="none" w:sz="0" w:space="0" w:color="auto"/>
            <w:left w:val="none" w:sz="0" w:space="0" w:color="auto"/>
            <w:bottom w:val="none" w:sz="0" w:space="0" w:color="auto"/>
            <w:right w:val="none" w:sz="0" w:space="0" w:color="auto"/>
          </w:divBdr>
        </w:div>
        <w:div w:id="334771402">
          <w:marLeft w:val="1800"/>
          <w:marRight w:val="0"/>
          <w:marTop w:val="0"/>
          <w:marBottom w:val="120"/>
          <w:divBdr>
            <w:top w:val="none" w:sz="0" w:space="0" w:color="auto"/>
            <w:left w:val="none" w:sz="0" w:space="0" w:color="auto"/>
            <w:bottom w:val="none" w:sz="0" w:space="0" w:color="auto"/>
            <w:right w:val="none" w:sz="0" w:space="0" w:color="auto"/>
          </w:divBdr>
        </w:div>
        <w:div w:id="1801073874">
          <w:marLeft w:val="1800"/>
          <w:marRight w:val="0"/>
          <w:marTop w:val="0"/>
          <w:marBottom w:val="120"/>
          <w:divBdr>
            <w:top w:val="none" w:sz="0" w:space="0" w:color="auto"/>
            <w:left w:val="none" w:sz="0" w:space="0" w:color="auto"/>
            <w:bottom w:val="none" w:sz="0" w:space="0" w:color="auto"/>
            <w:right w:val="none" w:sz="0" w:space="0" w:color="auto"/>
          </w:divBdr>
        </w:div>
        <w:div w:id="2090424582">
          <w:marLeft w:val="1800"/>
          <w:marRight w:val="0"/>
          <w:marTop w:val="0"/>
          <w:marBottom w:val="120"/>
          <w:divBdr>
            <w:top w:val="none" w:sz="0" w:space="0" w:color="auto"/>
            <w:left w:val="none" w:sz="0" w:space="0" w:color="auto"/>
            <w:bottom w:val="none" w:sz="0" w:space="0" w:color="auto"/>
            <w:right w:val="none" w:sz="0" w:space="0" w:color="auto"/>
          </w:divBdr>
        </w:div>
      </w:divsChild>
    </w:div>
    <w:div w:id="1139372338">
      <w:bodyDiv w:val="1"/>
      <w:marLeft w:val="0"/>
      <w:marRight w:val="0"/>
      <w:marTop w:val="0"/>
      <w:marBottom w:val="0"/>
      <w:divBdr>
        <w:top w:val="none" w:sz="0" w:space="0" w:color="auto"/>
        <w:left w:val="none" w:sz="0" w:space="0" w:color="auto"/>
        <w:bottom w:val="none" w:sz="0" w:space="0" w:color="auto"/>
        <w:right w:val="none" w:sz="0" w:space="0" w:color="auto"/>
      </w:divBdr>
    </w:div>
    <w:div w:id="1170174047">
      <w:bodyDiv w:val="1"/>
      <w:marLeft w:val="0"/>
      <w:marRight w:val="0"/>
      <w:marTop w:val="0"/>
      <w:marBottom w:val="0"/>
      <w:divBdr>
        <w:top w:val="none" w:sz="0" w:space="0" w:color="auto"/>
        <w:left w:val="none" w:sz="0" w:space="0" w:color="auto"/>
        <w:bottom w:val="none" w:sz="0" w:space="0" w:color="auto"/>
        <w:right w:val="none" w:sz="0" w:space="0" w:color="auto"/>
      </w:divBdr>
    </w:div>
    <w:div w:id="1296568831">
      <w:bodyDiv w:val="1"/>
      <w:marLeft w:val="0"/>
      <w:marRight w:val="0"/>
      <w:marTop w:val="0"/>
      <w:marBottom w:val="0"/>
      <w:divBdr>
        <w:top w:val="none" w:sz="0" w:space="0" w:color="auto"/>
        <w:left w:val="none" w:sz="0" w:space="0" w:color="auto"/>
        <w:bottom w:val="none" w:sz="0" w:space="0" w:color="auto"/>
        <w:right w:val="none" w:sz="0" w:space="0" w:color="auto"/>
      </w:divBdr>
      <w:divsChild>
        <w:div w:id="228998406">
          <w:marLeft w:val="0"/>
          <w:marRight w:val="0"/>
          <w:marTop w:val="0"/>
          <w:marBottom w:val="0"/>
          <w:divBdr>
            <w:top w:val="none" w:sz="0" w:space="0" w:color="auto"/>
            <w:left w:val="none" w:sz="0" w:space="0" w:color="auto"/>
            <w:bottom w:val="none" w:sz="0" w:space="0" w:color="auto"/>
            <w:right w:val="none" w:sz="0" w:space="0" w:color="auto"/>
          </w:divBdr>
          <w:divsChild>
            <w:div w:id="277296435">
              <w:marLeft w:val="0"/>
              <w:marRight w:val="0"/>
              <w:marTop w:val="0"/>
              <w:marBottom w:val="0"/>
              <w:divBdr>
                <w:top w:val="none" w:sz="0" w:space="0" w:color="auto"/>
                <w:left w:val="none" w:sz="0" w:space="0" w:color="auto"/>
                <w:bottom w:val="none" w:sz="0" w:space="0" w:color="auto"/>
                <w:right w:val="none" w:sz="0" w:space="0" w:color="auto"/>
              </w:divBdr>
            </w:div>
            <w:div w:id="468400272">
              <w:marLeft w:val="0"/>
              <w:marRight w:val="0"/>
              <w:marTop w:val="0"/>
              <w:marBottom w:val="0"/>
              <w:divBdr>
                <w:top w:val="none" w:sz="0" w:space="0" w:color="auto"/>
                <w:left w:val="none" w:sz="0" w:space="0" w:color="auto"/>
                <w:bottom w:val="none" w:sz="0" w:space="0" w:color="auto"/>
                <w:right w:val="none" w:sz="0" w:space="0" w:color="auto"/>
              </w:divBdr>
            </w:div>
            <w:div w:id="2111197066">
              <w:marLeft w:val="0"/>
              <w:marRight w:val="0"/>
              <w:marTop w:val="0"/>
              <w:marBottom w:val="0"/>
              <w:divBdr>
                <w:top w:val="none" w:sz="0" w:space="0" w:color="auto"/>
                <w:left w:val="none" w:sz="0" w:space="0" w:color="auto"/>
                <w:bottom w:val="none" w:sz="0" w:space="0" w:color="auto"/>
                <w:right w:val="none" w:sz="0" w:space="0" w:color="auto"/>
              </w:divBdr>
            </w:div>
            <w:div w:id="2115713261">
              <w:marLeft w:val="0"/>
              <w:marRight w:val="0"/>
              <w:marTop w:val="0"/>
              <w:marBottom w:val="0"/>
              <w:divBdr>
                <w:top w:val="none" w:sz="0" w:space="0" w:color="auto"/>
                <w:left w:val="none" w:sz="0" w:space="0" w:color="auto"/>
                <w:bottom w:val="none" w:sz="0" w:space="0" w:color="auto"/>
                <w:right w:val="none" w:sz="0" w:space="0" w:color="auto"/>
              </w:divBdr>
            </w:div>
          </w:divsChild>
        </w:div>
        <w:div w:id="348142431">
          <w:marLeft w:val="0"/>
          <w:marRight w:val="0"/>
          <w:marTop w:val="0"/>
          <w:marBottom w:val="0"/>
          <w:divBdr>
            <w:top w:val="none" w:sz="0" w:space="0" w:color="auto"/>
            <w:left w:val="none" w:sz="0" w:space="0" w:color="auto"/>
            <w:bottom w:val="none" w:sz="0" w:space="0" w:color="auto"/>
            <w:right w:val="none" w:sz="0" w:space="0" w:color="auto"/>
          </w:divBdr>
        </w:div>
        <w:div w:id="1185828569">
          <w:marLeft w:val="0"/>
          <w:marRight w:val="0"/>
          <w:marTop w:val="0"/>
          <w:marBottom w:val="0"/>
          <w:divBdr>
            <w:top w:val="none" w:sz="0" w:space="0" w:color="auto"/>
            <w:left w:val="none" w:sz="0" w:space="0" w:color="auto"/>
            <w:bottom w:val="none" w:sz="0" w:space="0" w:color="auto"/>
            <w:right w:val="none" w:sz="0" w:space="0" w:color="auto"/>
          </w:divBdr>
          <w:divsChild>
            <w:div w:id="156457182">
              <w:marLeft w:val="0"/>
              <w:marRight w:val="0"/>
              <w:marTop w:val="0"/>
              <w:marBottom w:val="0"/>
              <w:divBdr>
                <w:top w:val="none" w:sz="0" w:space="0" w:color="auto"/>
                <w:left w:val="none" w:sz="0" w:space="0" w:color="auto"/>
                <w:bottom w:val="none" w:sz="0" w:space="0" w:color="auto"/>
                <w:right w:val="none" w:sz="0" w:space="0" w:color="auto"/>
              </w:divBdr>
            </w:div>
            <w:div w:id="269707395">
              <w:marLeft w:val="0"/>
              <w:marRight w:val="0"/>
              <w:marTop w:val="0"/>
              <w:marBottom w:val="0"/>
              <w:divBdr>
                <w:top w:val="none" w:sz="0" w:space="0" w:color="auto"/>
                <w:left w:val="none" w:sz="0" w:space="0" w:color="auto"/>
                <w:bottom w:val="none" w:sz="0" w:space="0" w:color="auto"/>
                <w:right w:val="none" w:sz="0" w:space="0" w:color="auto"/>
              </w:divBdr>
            </w:div>
            <w:div w:id="399597898">
              <w:marLeft w:val="0"/>
              <w:marRight w:val="0"/>
              <w:marTop w:val="0"/>
              <w:marBottom w:val="0"/>
              <w:divBdr>
                <w:top w:val="none" w:sz="0" w:space="0" w:color="auto"/>
                <w:left w:val="none" w:sz="0" w:space="0" w:color="auto"/>
                <w:bottom w:val="none" w:sz="0" w:space="0" w:color="auto"/>
                <w:right w:val="none" w:sz="0" w:space="0" w:color="auto"/>
              </w:divBdr>
            </w:div>
            <w:div w:id="1647465750">
              <w:marLeft w:val="0"/>
              <w:marRight w:val="0"/>
              <w:marTop w:val="0"/>
              <w:marBottom w:val="0"/>
              <w:divBdr>
                <w:top w:val="none" w:sz="0" w:space="0" w:color="auto"/>
                <w:left w:val="none" w:sz="0" w:space="0" w:color="auto"/>
                <w:bottom w:val="none" w:sz="0" w:space="0" w:color="auto"/>
                <w:right w:val="none" w:sz="0" w:space="0" w:color="auto"/>
              </w:divBdr>
            </w:div>
          </w:divsChild>
        </w:div>
        <w:div w:id="2031950728">
          <w:marLeft w:val="0"/>
          <w:marRight w:val="0"/>
          <w:marTop w:val="0"/>
          <w:marBottom w:val="0"/>
          <w:divBdr>
            <w:top w:val="none" w:sz="0" w:space="0" w:color="auto"/>
            <w:left w:val="none" w:sz="0" w:space="0" w:color="auto"/>
            <w:bottom w:val="none" w:sz="0" w:space="0" w:color="auto"/>
            <w:right w:val="none" w:sz="0" w:space="0" w:color="auto"/>
          </w:divBdr>
        </w:div>
      </w:divsChild>
    </w:div>
    <w:div w:id="1391727119">
      <w:bodyDiv w:val="1"/>
      <w:marLeft w:val="0"/>
      <w:marRight w:val="0"/>
      <w:marTop w:val="0"/>
      <w:marBottom w:val="0"/>
      <w:divBdr>
        <w:top w:val="none" w:sz="0" w:space="0" w:color="auto"/>
        <w:left w:val="none" w:sz="0" w:space="0" w:color="auto"/>
        <w:bottom w:val="none" w:sz="0" w:space="0" w:color="auto"/>
        <w:right w:val="none" w:sz="0" w:space="0" w:color="auto"/>
      </w:divBdr>
      <w:divsChild>
        <w:div w:id="449202635">
          <w:marLeft w:val="0"/>
          <w:marRight w:val="0"/>
          <w:marTop w:val="0"/>
          <w:marBottom w:val="0"/>
          <w:divBdr>
            <w:top w:val="none" w:sz="0" w:space="0" w:color="auto"/>
            <w:left w:val="none" w:sz="0" w:space="0" w:color="auto"/>
            <w:bottom w:val="none" w:sz="0" w:space="0" w:color="auto"/>
            <w:right w:val="none" w:sz="0" w:space="0" w:color="auto"/>
          </w:divBdr>
          <w:divsChild>
            <w:div w:id="456722236">
              <w:marLeft w:val="0"/>
              <w:marRight w:val="0"/>
              <w:marTop w:val="0"/>
              <w:marBottom w:val="0"/>
              <w:divBdr>
                <w:top w:val="none" w:sz="0" w:space="0" w:color="auto"/>
                <w:left w:val="none" w:sz="0" w:space="0" w:color="auto"/>
                <w:bottom w:val="none" w:sz="0" w:space="0" w:color="auto"/>
                <w:right w:val="none" w:sz="0" w:space="0" w:color="auto"/>
              </w:divBdr>
            </w:div>
            <w:div w:id="1084686917">
              <w:marLeft w:val="0"/>
              <w:marRight w:val="0"/>
              <w:marTop w:val="0"/>
              <w:marBottom w:val="0"/>
              <w:divBdr>
                <w:top w:val="none" w:sz="0" w:space="0" w:color="auto"/>
                <w:left w:val="none" w:sz="0" w:space="0" w:color="auto"/>
                <w:bottom w:val="none" w:sz="0" w:space="0" w:color="auto"/>
                <w:right w:val="none" w:sz="0" w:space="0" w:color="auto"/>
              </w:divBdr>
            </w:div>
            <w:div w:id="1138759770">
              <w:marLeft w:val="0"/>
              <w:marRight w:val="0"/>
              <w:marTop w:val="0"/>
              <w:marBottom w:val="0"/>
              <w:divBdr>
                <w:top w:val="none" w:sz="0" w:space="0" w:color="auto"/>
                <w:left w:val="none" w:sz="0" w:space="0" w:color="auto"/>
                <w:bottom w:val="none" w:sz="0" w:space="0" w:color="auto"/>
                <w:right w:val="none" w:sz="0" w:space="0" w:color="auto"/>
              </w:divBdr>
            </w:div>
            <w:div w:id="1146971128">
              <w:marLeft w:val="0"/>
              <w:marRight w:val="0"/>
              <w:marTop w:val="0"/>
              <w:marBottom w:val="0"/>
              <w:divBdr>
                <w:top w:val="none" w:sz="0" w:space="0" w:color="auto"/>
                <w:left w:val="none" w:sz="0" w:space="0" w:color="auto"/>
                <w:bottom w:val="none" w:sz="0" w:space="0" w:color="auto"/>
                <w:right w:val="none" w:sz="0" w:space="0" w:color="auto"/>
              </w:divBdr>
            </w:div>
          </w:divsChild>
        </w:div>
        <w:div w:id="1411848362">
          <w:marLeft w:val="0"/>
          <w:marRight w:val="0"/>
          <w:marTop w:val="0"/>
          <w:marBottom w:val="0"/>
          <w:divBdr>
            <w:top w:val="none" w:sz="0" w:space="0" w:color="auto"/>
            <w:left w:val="none" w:sz="0" w:space="0" w:color="auto"/>
            <w:bottom w:val="none" w:sz="0" w:space="0" w:color="auto"/>
            <w:right w:val="none" w:sz="0" w:space="0" w:color="auto"/>
          </w:divBdr>
        </w:div>
        <w:div w:id="1484589836">
          <w:marLeft w:val="0"/>
          <w:marRight w:val="0"/>
          <w:marTop w:val="0"/>
          <w:marBottom w:val="0"/>
          <w:divBdr>
            <w:top w:val="none" w:sz="0" w:space="0" w:color="auto"/>
            <w:left w:val="none" w:sz="0" w:space="0" w:color="auto"/>
            <w:bottom w:val="none" w:sz="0" w:space="0" w:color="auto"/>
            <w:right w:val="none" w:sz="0" w:space="0" w:color="auto"/>
          </w:divBdr>
        </w:div>
        <w:div w:id="2087342078">
          <w:marLeft w:val="0"/>
          <w:marRight w:val="0"/>
          <w:marTop w:val="0"/>
          <w:marBottom w:val="0"/>
          <w:divBdr>
            <w:top w:val="none" w:sz="0" w:space="0" w:color="auto"/>
            <w:left w:val="none" w:sz="0" w:space="0" w:color="auto"/>
            <w:bottom w:val="none" w:sz="0" w:space="0" w:color="auto"/>
            <w:right w:val="none" w:sz="0" w:space="0" w:color="auto"/>
          </w:divBdr>
          <w:divsChild>
            <w:div w:id="191965577">
              <w:marLeft w:val="0"/>
              <w:marRight w:val="0"/>
              <w:marTop w:val="0"/>
              <w:marBottom w:val="0"/>
              <w:divBdr>
                <w:top w:val="none" w:sz="0" w:space="0" w:color="auto"/>
                <w:left w:val="none" w:sz="0" w:space="0" w:color="auto"/>
                <w:bottom w:val="none" w:sz="0" w:space="0" w:color="auto"/>
                <w:right w:val="none" w:sz="0" w:space="0" w:color="auto"/>
              </w:divBdr>
            </w:div>
            <w:div w:id="1179585594">
              <w:marLeft w:val="0"/>
              <w:marRight w:val="0"/>
              <w:marTop w:val="0"/>
              <w:marBottom w:val="0"/>
              <w:divBdr>
                <w:top w:val="none" w:sz="0" w:space="0" w:color="auto"/>
                <w:left w:val="none" w:sz="0" w:space="0" w:color="auto"/>
                <w:bottom w:val="none" w:sz="0" w:space="0" w:color="auto"/>
                <w:right w:val="none" w:sz="0" w:space="0" w:color="auto"/>
              </w:divBdr>
            </w:div>
            <w:div w:id="206066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64">
      <w:bodyDiv w:val="1"/>
      <w:marLeft w:val="0"/>
      <w:marRight w:val="0"/>
      <w:marTop w:val="0"/>
      <w:marBottom w:val="0"/>
      <w:divBdr>
        <w:top w:val="none" w:sz="0" w:space="0" w:color="auto"/>
        <w:left w:val="none" w:sz="0" w:space="0" w:color="auto"/>
        <w:bottom w:val="none" w:sz="0" w:space="0" w:color="auto"/>
        <w:right w:val="none" w:sz="0" w:space="0" w:color="auto"/>
      </w:divBdr>
    </w:div>
    <w:div w:id="1713574376">
      <w:bodyDiv w:val="1"/>
      <w:marLeft w:val="0"/>
      <w:marRight w:val="0"/>
      <w:marTop w:val="0"/>
      <w:marBottom w:val="0"/>
      <w:divBdr>
        <w:top w:val="none" w:sz="0" w:space="0" w:color="auto"/>
        <w:left w:val="none" w:sz="0" w:space="0" w:color="auto"/>
        <w:bottom w:val="none" w:sz="0" w:space="0" w:color="auto"/>
        <w:right w:val="none" w:sz="0" w:space="0" w:color="auto"/>
      </w:divBdr>
    </w:div>
    <w:div w:id="182584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pifrance.fr/download/media-file/41976" TargetMode="External"/><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pifrance.fr/nous-decouvrir/nos-engagements"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franceinvest.eu/parite-dans-le-capital-investissement-en-2022/" TargetMode="External"/><Relationship Id="rId2" Type="http://schemas.openxmlformats.org/officeDocument/2006/relationships/hyperlink" Target="https://www.bpifrance.fr/download/media-file/42303" TargetMode="External"/><Relationship Id="rId1" Type="http://schemas.openxmlformats.org/officeDocument/2006/relationships/hyperlink" Target="https://www.bpifrance.fr/download/media-file/41977" TargetMode="External"/><Relationship Id="rId4" Type="http://schemas.openxmlformats.org/officeDocument/2006/relationships/hyperlink" Target="https://www.bpifrance.fr/nos-solutions/investissement/investissement-expertise/lac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5532\Desktop\Bpifrance_Document_long.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C4AAD2-41F3-4F19-8920-5650D82E9CD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fr-FR"/>
        </a:p>
      </dgm:t>
    </dgm:pt>
    <dgm:pt modelId="{120F95AC-0D83-4581-BD3B-62F989AE9422}">
      <dgm:prSet phldrT="[Texte]" custT="1"/>
      <dgm:spPr>
        <a:xfrm>
          <a:off x="2390" y="2124"/>
          <a:ext cx="1437437" cy="574975"/>
        </a:xfrm>
        <a:prstGeom prst="rect">
          <a:avLst/>
        </a:prstGeom>
        <a:solidFill>
          <a:srgbClr val="FFCD00">
            <a:hueOff val="0"/>
            <a:satOff val="0"/>
            <a:lumOff val="0"/>
            <a:alphaOff val="0"/>
          </a:srgbClr>
        </a:solidFill>
        <a:ln w="25400" cap="flat" cmpd="sng" algn="ctr">
          <a:solidFill>
            <a:srgbClr val="FFCD00">
              <a:hueOff val="0"/>
              <a:satOff val="0"/>
              <a:lumOff val="0"/>
              <a:alphaOff val="0"/>
            </a:srgbClr>
          </a:solidFill>
          <a:prstDash val="solid"/>
          <a:miter lim="800000"/>
        </a:ln>
        <a:effectLst/>
      </dgm:spPr>
      <dgm:t>
        <a:bodyPr/>
        <a:lstStyle/>
        <a:p>
          <a:pPr>
            <a:buNone/>
          </a:pPr>
          <a:r>
            <a:rPr lang="fr-FR" sz="1200">
              <a:solidFill>
                <a:srgbClr val="786E64">
                  <a:lumMod val="75000"/>
                </a:srgbClr>
              </a:solidFill>
              <a:latin typeface="Impact" panose="020B0806030902050204" pitchFamily="34" charset="0"/>
              <a:ea typeface="+mn-ea"/>
              <a:cs typeface="+mn-cs"/>
            </a:rPr>
            <a:t>Gouvernance</a:t>
          </a:r>
        </a:p>
      </dgm:t>
    </dgm:pt>
    <dgm:pt modelId="{CBDFD073-D604-413A-9BDC-96F16A0E6D97}" type="parTrans" cxnId="{6D66C3F1-403D-4BE1-9E11-9774E27B2719}">
      <dgm:prSet/>
      <dgm:spPr/>
      <dgm:t>
        <a:bodyPr/>
        <a:lstStyle/>
        <a:p>
          <a:endParaRPr lang="fr-FR" sz="1400"/>
        </a:p>
      </dgm:t>
    </dgm:pt>
    <dgm:pt modelId="{FA38329F-C276-4D90-B59B-496E4A219849}" type="sibTrans" cxnId="{6D66C3F1-403D-4BE1-9E11-9774E27B2719}">
      <dgm:prSet/>
      <dgm:spPr/>
      <dgm:t>
        <a:bodyPr/>
        <a:lstStyle/>
        <a:p>
          <a:endParaRPr lang="fr-FR" sz="1400"/>
        </a:p>
      </dgm:t>
    </dgm:pt>
    <dgm:pt modelId="{417FD46F-A26A-491E-959E-D987F1467FF7}">
      <dgm:prSet phldrT="[Texte]" custT="1"/>
      <dgm:spPr>
        <a:xfrm>
          <a:off x="2390"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Transparence et équilibre</a:t>
          </a:r>
        </a:p>
      </dgm:t>
    </dgm:pt>
    <dgm:pt modelId="{E411D819-6356-4952-9146-821674F149E6}" type="parTrans" cxnId="{3BCE16F0-DA18-4824-B3B4-2CF3233CB156}">
      <dgm:prSet/>
      <dgm:spPr/>
      <dgm:t>
        <a:bodyPr/>
        <a:lstStyle/>
        <a:p>
          <a:endParaRPr lang="fr-FR" sz="1400"/>
        </a:p>
      </dgm:t>
    </dgm:pt>
    <dgm:pt modelId="{89477B5B-F900-4E32-9664-7340D1024E7D}" type="sibTrans" cxnId="{3BCE16F0-DA18-4824-B3B4-2CF3233CB156}">
      <dgm:prSet/>
      <dgm:spPr/>
      <dgm:t>
        <a:bodyPr/>
        <a:lstStyle/>
        <a:p>
          <a:endParaRPr lang="fr-FR" sz="1400"/>
        </a:p>
      </dgm:t>
    </dgm:pt>
    <dgm:pt modelId="{37D578D3-7284-4319-B5D0-288F49BAAE01}">
      <dgm:prSet phldrT="[Texte]" custT="1"/>
      <dgm:spPr>
        <a:xfrm>
          <a:off x="2390"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Anticipation</a:t>
          </a:r>
        </a:p>
      </dgm:t>
    </dgm:pt>
    <dgm:pt modelId="{E5F161B0-C321-4B92-93A0-75AADA3C45BF}" type="parTrans" cxnId="{8A75E00C-654B-43E1-ACC1-AC4AFD8EE0FD}">
      <dgm:prSet/>
      <dgm:spPr/>
      <dgm:t>
        <a:bodyPr/>
        <a:lstStyle/>
        <a:p>
          <a:endParaRPr lang="fr-FR" sz="1400"/>
        </a:p>
      </dgm:t>
    </dgm:pt>
    <dgm:pt modelId="{AD5562F4-ADD5-4218-8DA2-107BE9E61D73}" type="sibTrans" cxnId="{8A75E00C-654B-43E1-ACC1-AC4AFD8EE0FD}">
      <dgm:prSet/>
      <dgm:spPr/>
      <dgm:t>
        <a:bodyPr/>
        <a:lstStyle/>
        <a:p>
          <a:endParaRPr lang="fr-FR" sz="1400"/>
        </a:p>
      </dgm:t>
    </dgm:pt>
    <dgm:pt modelId="{CA3AC37D-15D2-4AE6-8B81-61F0E037EFE7}">
      <dgm:prSet phldrT="[Texte]" custT="1"/>
      <dgm:spPr>
        <a:xfrm>
          <a:off x="1641069" y="2124"/>
          <a:ext cx="1437437" cy="574975"/>
        </a:xfrm>
        <a:prstGeom prst="rect">
          <a:avLst/>
        </a:prstGeom>
        <a:solidFill>
          <a:srgbClr val="FFCD00">
            <a:hueOff val="0"/>
            <a:satOff val="0"/>
            <a:lumOff val="0"/>
            <a:alphaOff val="0"/>
          </a:srgbClr>
        </a:solidFill>
        <a:ln w="25400" cap="flat" cmpd="sng" algn="ctr">
          <a:solidFill>
            <a:srgbClr val="FFCD00">
              <a:hueOff val="0"/>
              <a:satOff val="0"/>
              <a:lumOff val="0"/>
              <a:alphaOff val="0"/>
            </a:srgbClr>
          </a:solidFill>
          <a:prstDash val="solid"/>
          <a:miter lim="800000"/>
        </a:ln>
        <a:effectLst/>
      </dgm:spPr>
      <dgm:t>
        <a:bodyPr/>
        <a:lstStyle/>
        <a:p>
          <a:pPr>
            <a:buNone/>
          </a:pPr>
          <a:r>
            <a:rPr lang="fr-FR" sz="1200">
              <a:solidFill>
                <a:srgbClr val="786E64">
                  <a:lumMod val="75000"/>
                </a:srgbClr>
              </a:solidFill>
              <a:latin typeface="Impact" panose="020B0806030902050204" pitchFamily="34" charset="0"/>
              <a:ea typeface="+mn-ea"/>
              <a:cs typeface="+mn-cs"/>
            </a:rPr>
            <a:t>Capital Humain</a:t>
          </a:r>
        </a:p>
      </dgm:t>
    </dgm:pt>
    <dgm:pt modelId="{1F84CEFF-087A-4A88-8493-65DF663F9E94}" type="parTrans" cxnId="{D007F6AD-372D-446E-ADEB-6A514C36377A}">
      <dgm:prSet/>
      <dgm:spPr/>
      <dgm:t>
        <a:bodyPr/>
        <a:lstStyle/>
        <a:p>
          <a:endParaRPr lang="fr-FR" sz="1400"/>
        </a:p>
      </dgm:t>
    </dgm:pt>
    <dgm:pt modelId="{DAF15C0D-4720-42FD-9E91-85C8FFF34D5C}" type="sibTrans" cxnId="{D007F6AD-372D-446E-ADEB-6A514C36377A}">
      <dgm:prSet/>
      <dgm:spPr/>
      <dgm:t>
        <a:bodyPr/>
        <a:lstStyle/>
        <a:p>
          <a:endParaRPr lang="fr-FR" sz="1400"/>
        </a:p>
      </dgm:t>
    </dgm:pt>
    <dgm:pt modelId="{94E0CA6D-890F-429D-8A12-FB2D174EE31A}">
      <dgm:prSet phldrT="[Texte]" custT="1"/>
      <dgm:spPr>
        <a:xfrm>
          <a:off x="1641069"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Emploi et politique sociale</a:t>
          </a:r>
        </a:p>
      </dgm:t>
    </dgm:pt>
    <dgm:pt modelId="{0EDAEF16-5193-436F-8A93-26244434682E}" type="parTrans" cxnId="{D6421A97-AE73-4192-BAAA-F47ABF14A2FB}">
      <dgm:prSet/>
      <dgm:spPr/>
      <dgm:t>
        <a:bodyPr/>
        <a:lstStyle/>
        <a:p>
          <a:endParaRPr lang="fr-FR" sz="1400"/>
        </a:p>
      </dgm:t>
    </dgm:pt>
    <dgm:pt modelId="{9C6D4E7E-F3D7-462D-BA7E-41412C62270E}" type="sibTrans" cxnId="{D6421A97-AE73-4192-BAAA-F47ABF14A2FB}">
      <dgm:prSet/>
      <dgm:spPr/>
      <dgm:t>
        <a:bodyPr/>
        <a:lstStyle/>
        <a:p>
          <a:endParaRPr lang="fr-FR" sz="1400"/>
        </a:p>
      </dgm:t>
    </dgm:pt>
    <dgm:pt modelId="{9440F736-50D8-45F0-995E-629B66E73149}">
      <dgm:prSet phldrT="[Texte]" custT="1"/>
      <dgm:spPr>
        <a:xfrm>
          <a:off x="1641069"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Gestion des emplois et compétences</a:t>
          </a:r>
        </a:p>
      </dgm:t>
    </dgm:pt>
    <dgm:pt modelId="{B2282D76-3AAD-4160-B797-01403F1D372D}" type="parTrans" cxnId="{D8B942E3-1FA5-44E2-A763-7BB2DAE1D568}">
      <dgm:prSet/>
      <dgm:spPr/>
      <dgm:t>
        <a:bodyPr/>
        <a:lstStyle/>
        <a:p>
          <a:endParaRPr lang="fr-FR" sz="1400"/>
        </a:p>
      </dgm:t>
    </dgm:pt>
    <dgm:pt modelId="{A2DFBCC0-0DDF-4546-8F59-CA9EE7AF2D3B}" type="sibTrans" cxnId="{D8B942E3-1FA5-44E2-A763-7BB2DAE1D568}">
      <dgm:prSet/>
      <dgm:spPr/>
      <dgm:t>
        <a:bodyPr/>
        <a:lstStyle/>
        <a:p>
          <a:endParaRPr lang="fr-FR" sz="1400"/>
        </a:p>
      </dgm:t>
    </dgm:pt>
    <dgm:pt modelId="{4A4BAF04-EE6A-473E-92DD-8CBF414670DD}">
      <dgm:prSet phldrT="[Texte]" custT="1"/>
      <dgm:spPr>
        <a:xfrm>
          <a:off x="3279748" y="2124"/>
          <a:ext cx="1437437" cy="574975"/>
        </a:xfrm>
        <a:prstGeom prst="rect">
          <a:avLst/>
        </a:prstGeom>
        <a:solidFill>
          <a:srgbClr val="FFCD00">
            <a:hueOff val="0"/>
            <a:satOff val="0"/>
            <a:lumOff val="0"/>
            <a:alphaOff val="0"/>
          </a:srgbClr>
        </a:solidFill>
        <a:ln w="25400" cap="flat" cmpd="sng" algn="ctr">
          <a:solidFill>
            <a:srgbClr val="FFCD00">
              <a:hueOff val="0"/>
              <a:satOff val="0"/>
              <a:lumOff val="0"/>
              <a:alphaOff val="0"/>
            </a:srgbClr>
          </a:solidFill>
          <a:prstDash val="solid"/>
          <a:miter lim="800000"/>
        </a:ln>
        <a:effectLst/>
      </dgm:spPr>
      <dgm:t>
        <a:bodyPr/>
        <a:lstStyle/>
        <a:p>
          <a:pPr>
            <a:buNone/>
          </a:pPr>
          <a:r>
            <a:rPr lang="fr-FR" sz="1200">
              <a:solidFill>
                <a:srgbClr val="786E64">
                  <a:lumMod val="75000"/>
                </a:srgbClr>
              </a:solidFill>
              <a:latin typeface="Impact" panose="020B0806030902050204" pitchFamily="34" charset="0"/>
              <a:ea typeface="+mn-ea"/>
              <a:cs typeface="+mn-cs"/>
            </a:rPr>
            <a:t>Environnement</a:t>
          </a:r>
        </a:p>
      </dgm:t>
    </dgm:pt>
    <dgm:pt modelId="{79EF01B7-D511-48B9-9F6A-1C2CAF20CC77}" type="parTrans" cxnId="{E5829A6F-4FEE-463A-A863-DF6CE87ED317}">
      <dgm:prSet/>
      <dgm:spPr/>
      <dgm:t>
        <a:bodyPr/>
        <a:lstStyle/>
        <a:p>
          <a:endParaRPr lang="fr-FR" sz="1400"/>
        </a:p>
      </dgm:t>
    </dgm:pt>
    <dgm:pt modelId="{4C764036-41B6-49BE-ABE3-6F53BF8DDFBF}" type="sibTrans" cxnId="{E5829A6F-4FEE-463A-A863-DF6CE87ED317}">
      <dgm:prSet/>
      <dgm:spPr/>
      <dgm:t>
        <a:bodyPr/>
        <a:lstStyle/>
        <a:p>
          <a:endParaRPr lang="fr-FR" sz="1400"/>
        </a:p>
      </dgm:t>
    </dgm:pt>
    <dgm:pt modelId="{D13EE766-1081-498F-8ACF-FF73F6CF9436}">
      <dgm:prSet phldrT="[Texte]" custT="1"/>
      <dgm:spPr>
        <a:xfrm>
          <a:off x="3279748"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Politique environnementale et système de management</a:t>
          </a:r>
        </a:p>
      </dgm:t>
    </dgm:pt>
    <dgm:pt modelId="{9E510091-EEE0-4A6D-A61F-4B0FEF736C69}" type="parTrans" cxnId="{ED962B8F-516C-42A2-AE9E-41EAD76940B5}">
      <dgm:prSet/>
      <dgm:spPr/>
      <dgm:t>
        <a:bodyPr/>
        <a:lstStyle/>
        <a:p>
          <a:endParaRPr lang="fr-FR" sz="1400"/>
        </a:p>
      </dgm:t>
    </dgm:pt>
    <dgm:pt modelId="{EC616961-D7F5-4A68-AEDC-0334A49B378A}" type="sibTrans" cxnId="{ED962B8F-516C-42A2-AE9E-41EAD76940B5}">
      <dgm:prSet/>
      <dgm:spPr/>
      <dgm:t>
        <a:bodyPr/>
        <a:lstStyle/>
        <a:p>
          <a:endParaRPr lang="fr-FR" sz="1400"/>
        </a:p>
      </dgm:t>
    </dgm:pt>
    <dgm:pt modelId="{176B1E2E-6CB2-425A-9D06-8EB1FC022AD2}">
      <dgm:prSet phldrT="[Texte]" custT="1"/>
      <dgm:spPr>
        <a:xfrm>
          <a:off x="1641069"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Diversité et égalité des chances</a:t>
          </a:r>
        </a:p>
      </dgm:t>
    </dgm:pt>
    <dgm:pt modelId="{5ED0BCF2-9167-4ADE-9337-E417DB2B42DE}" type="parTrans" cxnId="{55539D0D-433B-4B43-9746-ED55E333038E}">
      <dgm:prSet/>
      <dgm:spPr/>
      <dgm:t>
        <a:bodyPr/>
        <a:lstStyle/>
        <a:p>
          <a:endParaRPr lang="fr-FR" sz="1400"/>
        </a:p>
      </dgm:t>
    </dgm:pt>
    <dgm:pt modelId="{F38C027E-E15E-4539-8FA7-BFBD19AA49CC}" type="sibTrans" cxnId="{55539D0D-433B-4B43-9746-ED55E333038E}">
      <dgm:prSet/>
      <dgm:spPr/>
      <dgm:t>
        <a:bodyPr/>
        <a:lstStyle/>
        <a:p>
          <a:endParaRPr lang="fr-FR" sz="1400"/>
        </a:p>
      </dgm:t>
    </dgm:pt>
    <dgm:pt modelId="{4894119A-2B8D-4389-9AD8-930E5DE2105D}">
      <dgm:prSet phldrT="[Texte]" custT="1"/>
      <dgm:spPr>
        <a:xfrm>
          <a:off x="1641069"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Bien-être au travail</a:t>
          </a:r>
        </a:p>
      </dgm:t>
    </dgm:pt>
    <dgm:pt modelId="{DC5840E3-40FD-480F-B16E-A3C9646DF3CA}" type="parTrans" cxnId="{2A75197C-5380-4105-9F55-D63E320A111F}">
      <dgm:prSet/>
      <dgm:spPr/>
      <dgm:t>
        <a:bodyPr/>
        <a:lstStyle/>
        <a:p>
          <a:endParaRPr lang="fr-FR" sz="1400"/>
        </a:p>
      </dgm:t>
    </dgm:pt>
    <dgm:pt modelId="{47B72C4C-B851-4F03-80FD-8CCD60D24FE0}" type="sibTrans" cxnId="{2A75197C-5380-4105-9F55-D63E320A111F}">
      <dgm:prSet/>
      <dgm:spPr/>
      <dgm:t>
        <a:bodyPr/>
        <a:lstStyle/>
        <a:p>
          <a:endParaRPr lang="fr-FR" sz="1400"/>
        </a:p>
      </dgm:t>
    </dgm:pt>
    <dgm:pt modelId="{2E6A8EE9-6F3B-4883-A72C-64AAF7B72EBD}">
      <dgm:prSet phldrT="[Texte]" custT="1"/>
      <dgm:spPr>
        <a:xfrm>
          <a:off x="1641069"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Climat et dialogue social</a:t>
          </a:r>
        </a:p>
      </dgm:t>
    </dgm:pt>
    <dgm:pt modelId="{C5C63BAE-AF00-4B23-ABC9-4B3D864B0FCF}" type="parTrans" cxnId="{2D108A39-377D-402C-A331-B832CE098769}">
      <dgm:prSet/>
      <dgm:spPr/>
      <dgm:t>
        <a:bodyPr/>
        <a:lstStyle/>
        <a:p>
          <a:endParaRPr lang="fr-FR" sz="1400"/>
        </a:p>
      </dgm:t>
    </dgm:pt>
    <dgm:pt modelId="{A52FEDA2-9A9C-4771-B8FB-9A652BA12E42}" type="sibTrans" cxnId="{2D108A39-377D-402C-A331-B832CE098769}">
      <dgm:prSet/>
      <dgm:spPr/>
      <dgm:t>
        <a:bodyPr/>
        <a:lstStyle/>
        <a:p>
          <a:endParaRPr lang="fr-FR" sz="1400"/>
        </a:p>
      </dgm:t>
    </dgm:pt>
    <dgm:pt modelId="{67E6BD04-59D9-43F9-BECB-BCAACF1CCF28}">
      <dgm:prSet phldrT="[Texte]" custT="1"/>
      <dgm:spPr>
        <a:xfrm>
          <a:off x="3279748"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Energie et gaz à effets de serre</a:t>
          </a:r>
        </a:p>
      </dgm:t>
    </dgm:pt>
    <dgm:pt modelId="{7FFFC2B2-6397-4148-9665-BFA754FD01F4}" type="parTrans" cxnId="{4ED84914-3E27-4925-82E0-57F59E932E1F}">
      <dgm:prSet/>
      <dgm:spPr/>
      <dgm:t>
        <a:bodyPr/>
        <a:lstStyle/>
        <a:p>
          <a:endParaRPr lang="fr-FR" sz="1400"/>
        </a:p>
      </dgm:t>
    </dgm:pt>
    <dgm:pt modelId="{98E834D9-1D5F-4672-809B-42985936BB9C}" type="sibTrans" cxnId="{4ED84914-3E27-4925-82E0-57F59E932E1F}">
      <dgm:prSet/>
      <dgm:spPr/>
      <dgm:t>
        <a:bodyPr/>
        <a:lstStyle/>
        <a:p>
          <a:endParaRPr lang="fr-FR" sz="1400"/>
        </a:p>
      </dgm:t>
    </dgm:pt>
    <dgm:pt modelId="{2BF15F7C-2529-4617-8A8E-89409C2664AA}">
      <dgm:prSet phldrT="[Texte]" custT="1"/>
      <dgm:spPr>
        <a:xfrm>
          <a:off x="3279748"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Intrants et Déchets</a:t>
          </a:r>
        </a:p>
      </dgm:t>
    </dgm:pt>
    <dgm:pt modelId="{6BA6C817-E1E9-4B5C-8391-F7F88B917E7C}" type="parTrans" cxnId="{B077B795-4418-4DCC-B811-3FE83627F4FD}">
      <dgm:prSet/>
      <dgm:spPr/>
      <dgm:t>
        <a:bodyPr/>
        <a:lstStyle/>
        <a:p>
          <a:endParaRPr lang="fr-FR" sz="1400"/>
        </a:p>
      </dgm:t>
    </dgm:pt>
    <dgm:pt modelId="{10C6E10B-B353-4E06-9B89-E3A11396D017}" type="sibTrans" cxnId="{B077B795-4418-4DCC-B811-3FE83627F4FD}">
      <dgm:prSet/>
      <dgm:spPr/>
      <dgm:t>
        <a:bodyPr/>
        <a:lstStyle/>
        <a:p>
          <a:endParaRPr lang="fr-FR" sz="1400"/>
        </a:p>
      </dgm:t>
    </dgm:pt>
    <dgm:pt modelId="{AECC7A4F-CBB2-4606-A3B1-C8B448CAAB7E}">
      <dgm:prSet phldrT="[Texte]" custT="1"/>
      <dgm:spPr>
        <a:xfrm>
          <a:off x="3279748"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Maîtrise des autres impacts environnementaux</a:t>
          </a:r>
        </a:p>
      </dgm:t>
    </dgm:pt>
    <dgm:pt modelId="{A70F1FB5-507F-4BEC-8C32-F96E80265064}" type="parTrans" cxnId="{4AFC2471-FF5A-4335-AE0C-308CBDE92AE1}">
      <dgm:prSet/>
      <dgm:spPr/>
      <dgm:t>
        <a:bodyPr/>
        <a:lstStyle/>
        <a:p>
          <a:endParaRPr lang="fr-FR" sz="1400"/>
        </a:p>
      </dgm:t>
    </dgm:pt>
    <dgm:pt modelId="{3428C281-D56F-4371-A5B9-FF9E547A5065}" type="sibTrans" cxnId="{4AFC2471-FF5A-4335-AE0C-308CBDE92AE1}">
      <dgm:prSet/>
      <dgm:spPr/>
      <dgm:t>
        <a:bodyPr/>
        <a:lstStyle/>
        <a:p>
          <a:endParaRPr lang="fr-FR" sz="1400"/>
        </a:p>
      </dgm:t>
    </dgm:pt>
    <dgm:pt modelId="{E7D73D5B-D8FE-4366-8C0D-B0162AC22ECA}">
      <dgm:prSet phldrT="[Texte]" custT="1"/>
      <dgm:spPr>
        <a:xfrm>
          <a:off x="4918426" y="2124"/>
          <a:ext cx="1437437" cy="574975"/>
        </a:xfrm>
        <a:prstGeom prst="rect">
          <a:avLst/>
        </a:prstGeom>
        <a:solidFill>
          <a:srgbClr val="FFCD00">
            <a:hueOff val="0"/>
            <a:satOff val="0"/>
            <a:lumOff val="0"/>
            <a:alphaOff val="0"/>
          </a:srgbClr>
        </a:solidFill>
        <a:ln w="25400" cap="flat" cmpd="sng" algn="ctr">
          <a:solidFill>
            <a:srgbClr val="FFCD00">
              <a:hueOff val="0"/>
              <a:satOff val="0"/>
              <a:lumOff val="0"/>
              <a:alphaOff val="0"/>
            </a:srgbClr>
          </a:solidFill>
          <a:prstDash val="solid"/>
          <a:miter lim="800000"/>
        </a:ln>
        <a:effectLst/>
      </dgm:spPr>
      <dgm:t>
        <a:bodyPr/>
        <a:lstStyle/>
        <a:p>
          <a:pPr>
            <a:buNone/>
          </a:pPr>
          <a:r>
            <a:rPr lang="fr-FR" sz="1200">
              <a:solidFill>
                <a:srgbClr val="786E64">
                  <a:lumMod val="75000"/>
                </a:srgbClr>
              </a:solidFill>
              <a:latin typeface="Impact" panose="020B0806030902050204" pitchFamily="34" charset="0"/>
              <a:ea typeface="+mn-ea"/>
              <a:cs typeface="+mn-cs"/>
            </a:rPr>
            <a:t>Parties Prenantes</a:t>
          </a:r>
        </a:p>
      </dgm:t>
    </dgm:pt>
    <dgm:pt modelId="{51514D59-30E6-4BE9-86FA-DF33C8C47B62}" type="parTrans" cxnId="{757CF418-F953-4F16-9B9F-8A96BF215C8B}">
      <dgm:prSet/>
      <dgm:spPr/>
      <dgm:t>
        <a:bodyPr/>
        <a:lstStyle/>
        <a:p>
          <a:endParaRPr lang="fr-FR" sz="1400"/>
        </a:p>
      </dgm:t>
    </dgm:pt>
    <dgm:pt modelId="{3D9B243F-7D46-415E-957E-365ED89A084C}" type="sibTrans" cxnId="{757CF418-F953-4F16-9B9F-8A96BF215C8B}">
      <dgm:prSet/>
      <dgm:spPr/>
      <dgm:t>
        <a:bodyPr/>
        <a:lstStyle/>
        <a:p>
          <a:endParaRPr lang="fr-FR" sz="1400"/>
        </a:p>
      </dgm:t>
    </dgm:pt>
    <dgm:pt modelId="{2389A8F0-8A32-4E25-9E67-C61AB47498A6}">
      <dgm:prSet phldrT="[Texte]" custT="1"/>
      <dgm:spPr>
        <a:xfrm>
          <a:off x="4918426"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Relations pérennes et éthiques avec les fournisseurs</a:t>
          </a:r>
        </a:p>
      </dgm:t>
    </dgm:pt>
    <dgm:pt modelId="{7A30993D-C751-4C4A-877C-35ECB6913EFF}" type="parTrans" cxnId="{08E876D0-25FF-49DE-BF52-8A471CDE5EEB}">
      <dgm:prSet/>
      <dgm:spPr/>
      <dgm:t>
        <a:bodyPr/>
        <a:lstStyle/>
        <a:p>
          <a:endParaRPr lang="fr-FR" sz="1400"/>
        </a:p>
      </dgm:t>
    </dgm:pt>
    <dgm:pt modelId="{FE068865-EF24-4853-A734-7CB41E72439D}" type="sibTrans" cxnId="{08E876D0-25FF-49DE-BF52-8A471CDE5EEB}">
      <dgm:prSet/>
      <dgm:spPr/>
      <dgm:t>
        <a:bodyPr/>
        <a:lstStyle/>
        <a:p>
          <a:endParaRPr lang="fr-FR" sz="1400"/>
        </a:p>
      </dgm:t>
    </dgm:pt>
    <dgm:pt modelId="{E467049A-3736-443B-9E63-1143535A7843}">
      <dgm:prSet phldrT="[Texte]" custT="1"/>
      <dgm:spPr>
        <a:xfrm>
          <a:off x="4918426"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Qualité et satisfaction des clients</a:t>
          </a:r>
        </a:p>
      </dgm:t>
    </dgm:pt>
    <dgm:pt modelId="{94C807A8-E71E-4335-A993-1378183BC8F6}" type="parTrans" cxnId="{DE70A98B-E2D0-4A7C-B303-E70FD1ADD47A}">
      <dgm:prSet/>
      <dgm:spPr/>
      <dgm:t>
        <a:bodyPr/>
        <a:lstStyle/>
        <a:p>
          <a:endParaRPr lang="fr-FR" sz="1400"/>
        </a:p>
      </dgm:t>
    </dgm:pt>
    <dgm:pt modelId="{1CCADE75-6D83-4C4A-8077-EF2D7BF187DC}" type="sibTrans" cxnId="{DE70A98B-E2D0-4A7C-B303-E70FD1ADD47A}">
      <dgm:prSet/>
      <dgm:spPr/>
      <dgm:t>
        <a:bodyPr/>
        <a:lstStyle/>
        <a:p>
          <a:endParaRPr lang="fr-FR" sz="1400"/>
        </a:p>
      </dgm:t>
    </dgm:pt>
    <dgm:pt modelId="{D7342130-029D-4B32-82A4-5221B80DD4FA}">
      <dgm:prSet phldrT="[Texte]" custT="1"/>
      <dgm:spPr>
        <a:xfrm>
          <a:off x="4918426" y="577099"/>
          <a:ext cx="1437437" cy="1516612"/>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gm:spPr>
      <dgm:t>
        <a:bodyPr/>
        <a:lstStyle/>
        <a:p>
          <a:pPr>
            <a:buChar char="•"/>
          </a:pPr>
          <a:r>
            <a:rPr lang="fr-FR" sz="1000">
              <a:solidFill>
                <a:sysClr val="windowText" lastClr="000000">
                  <a:lumMod val="65000"/>
                  <a:lumOff val="35000"/>
                </a:sysClr>
              </a:solidFill>
              <a:latin typeface="Arial" panose="020B0604020202020204" pitchFamily="34" charset="0"/>
              <a:ea typeface="+mn-ea"/>
              <a:cs typeface="Arial" panose="020B0604020202020204" pitchFamily="34" charset="0"/>
            </a:rPr>
            <a:t>Relations avec les autres parties prenantes externes</a:t>
          </a:r>
        </a:p>
      </dgm:t>
    </dgm:pt>
    <dgm:pt modelId="{35808780-EDBD-480D-8ECE-A20127849984}" type="parTrans" cxnId="{B775D3C5-41A8-44FC-B72C-DC2C44DA920E}">
      <dgm:prSet/>
      <dgm:spPr/>
      <dgm:t>
        <a:bodyPr/>
        <a:lstStyle/>
        <a:p>
          <a:endParaRPr lang="fr-FR" sz="1400"/>
        </a:p>
      </dgm:t>
    </dgm:pt>
    <dgm:pt modelId="{281FC5A7-3943-442F-9A4B-0F7BDB616227}" type="sibTrans" cxnId="{B775D3C5-41A8-44FC-B72C-DC2C44DA920E}">
      <dgm:prSet/>
      <dgm:spPr/>
      <dgm:t>
        <a:bodyPr/>
        <a:lstStyle/>
        <a:p>
          <a:endParaRPr lang="fr-FR" sz="1400"/>
        </a:p>
      </dgm:t>
    </dgm:pt>
    <dgm:pt modelId="{F88ACCC1-137C-4C6C-B2EC-558F84052C47}" type="pres">
      <dgm:prSet presAssocID="{D2C4AAD2-41F3-4F19-8920-5650D82E9CD5}" presName="Name0" presStyleCnt="0">
        <dgm:presLayoutVars>
          <dgm:dir/>
          <dgm:animLvl val="lvl"/>
          <dgm:resizeHandles val="exact"/>
        </dgm:presLayoutVars>
      </dgm:prSet>
      <dgm:spPr/>
    </dgm:pt>
    <dgm:pt modelId="{80F39923-439A-469C-A363-2EA74FC41399}" type="pres">
      <dgm:prSet presAssocID="{120F95AC-0D83-4581-BD3B-62F989AE9422}" presName="composite" presStyleCnt="0"/>
      <dgm:spPr/>
    </dgm:pt>
    <dgm:pt modelId="{92510E7B-3702-4A1E-A2BA-A15A1AF0FFA9}" type="pres">
      <dgm:prSet presAssocID="{120F95AC-0D83-4581-BD3B-62F989AE9422}" presName="parTx" presStyleLbl="alignNode1" presStyleIdx="0" presStyleCnt="4">
        <dgm:presLayoutVars>
          <dgm:chMax val="0"/>
          <dgm:chPref val="0"/>
          <dgm:bulletEnabled val="1"/>
        </dgm:presLayoutVars>
      </dgm:prSet>
      <dgm:spPr/>
    </dgm:pt>
    <dgm:pt modelId="{C38DA560-2C48-4D7E-9012-92B3F742C0DE}" type="pres">
      <dgm:prSet presAssocID="{120F95AC-0D83-4581-BD3B-62F989AE9422}" presName="desTx" presStyleLbl="alignAccFollowNode1" presStyleIdx="0" presStyleCnt="4">
        <dgm:presLayoutVars>
          <dgm:bulletEnabled val="1"/>
        </dgm:presLayoutVars>
      </dgm:prSet>
      <dgm:spPr/>
    </dgm:pt>
    <dgm:pt modelId="{BF5820E6-54C2-410E-957C-329144E6981B}" type="pres">
      <dgm:prSet presAssocID="{FA38329F-C276-4D90-B59B-496E4A219849}" presName="space" presStyleCnt="0"/>
      <dgm:spPr/>
    </dgm:pt>
    <dgm:pt modelId="{E1DFB48A-AA96-4B3C-97BC-BD1316E3792B}" type="pres">
      <dgm:prSet presAssocID="{CA3AC37D-15D2-4AE6-8B81-61F0E037EFE7}" presName="composite" presStyleCnt="0"/>
      <dgm:spPr/>
    </dgm:pt>
    <dgm:pt modelId="{6BD2FA3C-CE2C-4AF6-8481-1B42E05F9AED}" type="pres">
      <dgm:prSet presAssocID="{CA3AC37D-15D2-4AE6-8B81-61F0E037EFE7}" presName="parTx" presStyleLbl="alignNode1" presStyleIdx="1" presStyleCnt="4">
        <dgm:presLayoutVars>
          <dgm:chMax val="0"/>
          <dgm:chPref val="0"/>
          <dgm:bulletEnabled val="1"/>
        </dgm:presLayoutVars>
      </dgm:prSet>
      <dgm:spPr/>
    </dgm:pt>
    <dgm:pt modelId="{D3DC8DE6-E388-4087-91E6-A46998574643}" type="pres">
      <dgm:prSet presAssocID="{CA3AC37D-15D2-4AE6-8B81-61F0E037EFE7}" presName="desTx" presStyleLbl="alignAccFollowNode1" presStyleIdx="1" presStyleCnt="4">
        <dgm:presLayoutVars>
          <dgm:bulletEnabled val="1"/>
        </dgm:presLayoutVars>
      </dgm:prSet>
      <dgm:spPr/>
    </dgm:pt>
    <dgm:pt modelId="{B2EA243B-39B4-4BCB-B0C9-11797B635B40}" type="pres">
      <dgm:prSet presAssocID="{DAF15C0D-4720-42FD-9E91-85C8FFF34D5C}" presName="space" presStyleCnt="0"/>
      <dgm:spPr/>
    </dgm:pt>
    <dgm:pt modelId="{B7662B38-9A32-49F9-97D6-53E509EB472C}" type="pres">
      <dgm:prSet presAssocID="{4A4BAF04-EE6A-473E-92DD-8CBF414670DD}" presName="composite" presStyleCnt="0"/>
      <dgm:spPr/>
    </dgm:pt>
    <dgm:pt modelId="{85DE08C5-EC2F-40C4-868B-7B8818621443}" type="pres">
      <dgm:prSet presAssocID="{4A4BAF04-EE6A-473E-92DD-8CBF414670DD}" presName="parTx" presStyleLbl="alignNode1" presStyleIdx="2" presStyleCnt="4">
        <dgm:presLayoutVars>
          <dgm:chMax val="0"/>
          <dgm:chPref val="0"/>
          <dgm:bulletEnabled val="1"/>
        </dgm:presLayoutVars>
      </dgm:prSet>
      <dgm:spPr/>
    </dgm:pt>
    <dgm:pt modelId="{5FBB6A7D-3681-46B7-9E84-195018324180}" type="pres">
      <dgm:prSet presAssocID="{4A4BAF04-EE6A-473E-92DD-8CBF414670DD}" presName="desTx" presStyleLbl="alignAccFollowNode1" presStyleIdx="2" presStyleCnt="4">
        <dgm:presLayoutVars>
          <dgm:bulletEnabled val="1"/>
        </dgm:presLayoutVars>
      </dgm:prSet>
      <dgm:spPr/>
    </dgm:pt>
    <dgm:pt modelId="{A627ABC1-FCF0-49ED-8A76-E0CEA68A2B1A}" type="pres">
      <dgm:prSet presAssocID="{4C764036-41B6-49BE-ABE3-6F53BF8DDFBF}" presName="space" presStyleCnt="0"/>
      <dgm:spPr/>
    </dgm:pt>
    <dgm:pt modelId="{7AB86056-2AF7-4C5E-B8BF-B17F0C4AD869}" type="pres">
      <dgm:prSet presAssocID="{E7D73D5B-D8FE-4366-8C0D-B0162AC22ECA}" presName="composite" presStyleCnt="0"/>
      <dgm:spPr/>
    </dgm:pt>
    <dgm:pt modelId="{E80BFBCB-42C0-4A3B-9EBB-B63D058AC2CC}" type="pres">
      <dgm:prSet presAssocID="{E7D73D5B-D8FE-4366-8C0D-B0162AC22ECA}" presName="parTx" presStyleLbl="alignNode1" presStyleIdx="3" presStyleCnt="4">
        <dgm:presLayoutVars>
          <dgm:chMax val="0"/>
          <dgm:chPref val="0"/>
          <dgm:bulletEnabled val="1"/>
        </dgm:presLayoutVars>
      </dgm:prSet>
      <dgm:spPr/>
    </dgm:pt>
    <dgm:pt modelId="{A4027F88-C2AB-4C30-A5E4-BDDB9A800D45}" type="pres">
      <dgm:prSet presAssocID="{E7D73D5B-D8FE-4366-8C0D-B0162AC22ECA}" presName="desTx" presStyleLbl="alignAccFollowNode1" presStyleIdx="3" presStyleCnt="4">
        <dgm:presLayoutVars>
          <dgm:bulletEnabled val="1"/>
        </dgm:presLayoutVars>
      </dgm:prSet>
      <dgm:spPr/>
    </dgm:pt>
  </dgm:ptLst>
  <dgm:cxnLst>
    <dgm:cxn modelId="{54D4D407-7877-4C08-BF79-A1C4FF623E9A}" type="presOf" srcId="{176B1E2E-6CB2-425A-9D06-8EB1FC022AD2}" destId="{D3DC8DE6-E388-4087-91E6-A46998574643}" srcOrd="0" destOrd="2" presId="urn:microsoft.com/office/officeart/2005/8/layout/hList1"/>
    <dgm:cxn modelId="{8A75E00C-654B-43E1-ACC1-AC4AFD8EE0FD}" srcId="{120F95AC-0D83-4581-BD3B-62F989AE9422}" destId="{37D578D3-7284-4319-B5D0-288F49BAAE01}" srcOrd="1" destOrd="0" parTransId="{E5F161B0-C321-4B92-93A0-75AADA3C45BF}" sibTransId="{AD5562F4-ADD5-4218-8DA2-107BE9E61D73}"/>
    <dgm:cxn modelId="{55539D0D-433B-4B43-9746-ED55E333038E}" srcId="{CA3AC37D-15D2-4AE6-8B81-61F0E037EFE7}" destId="{176B1E2E-6CB2-425A-9D06-8EB1FC022AD2}" srcOrd="2" destOrd="0" parTransId="{5ED0BCF2-9167-4ADE-9337-E417DB2B42DE}" sibTransId="{F38C027E-E15E-4539-8FA7-BFBD19AA49CC}"/>
    <dgm:cxn modelId="{4ED84914-3E27-4925-82E0-57F59E932E1F}" srcId="{4A4BAF04-EE6A-473E-92DD-8CBF414670DD}" destId="{67E6BD04-59D9-43F9-BECB-BCAACF1CCF28}" srcOrd="1" destOrd="0" parTransId="{7FFFC2B2-6397-4148-9665-BFA754FD01F4}" sibTransId="{98E834D9-1D5F-4672-809B-42985936BB9C}"/>
    <dgm:cxn modelId="{757CF418-F953-4F16-9B9F-8A96BF215C8B}" srcId="{D2C4AAD2-41F3-4F19-8920-5650D82E9CD5}" destId="{E7D73D5B-D8FE-4366-8C0D-B0162AC22ECA}" srcOrd="3" destOrd="0" parTransId="{51514D59-30E6-4BE9-86FA-DF33C8C47B62}" sibTransId="{3D9B243F-7D46-415E-957E-365ED89A084C}"/>
    <dgm:cxn modelId="{F30CEC1B-6284-425A-ADC9-9B6800440900}" type="presOf" srcId="{D13EE766-1081-498F-8ACF-FF73F6CF9436}" destId="{5FBB6A7D-3681-46B7-9E84-195018324180}" srcOrd="0" destOrd="0" presId="urn:microsoft.com/office/officeart/2005/8/layout/hList1"/>
    <dgm:cxn modelId="{91D40C2C-6E62-4C1C-82D1-1DADB81243FA}" type="presOf" srcId="{2389A8F0-8A32-4E25-9E67-C61AB47498A6}" destId="{A4027F88-C2AB-4C30-A5E4-BDDB9A800D45}" srcOrd="0" destOrd="0" presId="urn:microsoft.com/office/officeart/2005/8/layout/hList1"/>
    <dgm:cxn modelId="{2D108A39-377D-402C-A331-B832CE098769}" srcId="{CA3AC37D-15D2-4AE6-8B81-61F0E037EFE7}" destId="{2E6A8EE9-6F3B-4883-A72C-64AAF7B72EBD}" srcOrd="4" destOrd="0" parTransId="{C5C63BAE-AF00-4B23-ABC9-4B3D864B0FCF}" sibTransId="{A52FEDA2-9A9C-4771-B8FB-9A652BA12E42}"/>
    <dgm:cxn modelId="{79647A3A-F02C-4F92-A91C-3041EC48264B}" type="presOf" srcId="{37D578D3-7284-4319-B5D0-288F49BAAE01}" destId="{C38DA560-2C48-4D7E-9012-92B3F742C0DE}" srcOrd="0" destOrd="1" presId="urn:microsoft.com/office/officeart/2005/8/layout/hList1"/>
    <dgm:cxn modelId="{6BC45E41-3284-4670-8F29-86A560B004DE}" type="presOf" srcId="{67E6BD04-59D9-43F9-BECB-BCAACF1CCF28}" destId="{5FBB6A7D-3681-46B7-9E84-195018324180}" srcOrd="0" destOrd="1" presId="urn:microsoft.com/office/officeart/2005/8/layout/hList1"/>
    <dgm:cxn modelId="{838ED443-51AD-46BA-B3B4-3A69C4B62A78}" type="presOf" srcId="{CA3AC37D-15D2-4AE6-8B81-61F0E037EFE7}" destId="{6BD2FA3C-CE2C-4AF6-8481-1B42E05F9AED}" srcOrd="0" destOrd="0" presId="urn:microsoft.com/office/officeart/2005/8/layout/hList1"/>
    <dgm:cxn modelId="{B21B8346-296E-45EA-BA61-C896C6653B7D}" type="presOf" srcId="{D7342130-029D-4B32-82A4-5221B80DD4FA}" destId="{A4027F88-C2AB-4C30-A5E4-BDDB9A800D45}" srcOrd="0" destOrd="2" presId="urn:microsoft.com/office/officeart/2005/8/layout/hList1"/>
    <dgm:cxn modelId="{E5829A6F-4FEE-463A-A863-DF6CE87ED317}" srcId="{D2C4AAD2-41F3-4F19-8920-5650D82E9CD5}" destId="{4A4BAF04-EE6A-473E-92DD-8CBF414670DD}" srcOrd="2" destOrd="0" parTransId="{79EF01B7-D511-48B9-9F6A-1C2CAF20CC77}" sibTransId="{4C764036-41B6-49BE-ABE3-6F53BF8DDFBF}"/>
    <dgm:cxn modelId="{0ABB0750-A092-4B3F-A0A9-7F0B2BC15B80}" type="presOf" srcId="{2BF15F7C-2529-4617-8A8E-89409C2664AA}" destId="{5FBB6A7D-3681-46B7-9E84-195018324180}" srcOrd="0" destOrd="2" presId="urn:microsoft.com/office/officeart/2005/8/layout/hList1"/>
    <dgm:cxn modelId="{4AFC2471-FF5A-4335-AE0C-308CBDE92AE1}" srcId="{4A4BAF04-EE6A-473E-92DD-8CBF414670DD}" destId="{AECC7A4F-CBB2-4606-A3B1-C8B448CAAB7E}" srcOrd="3" destOrd="0" parTransId="{A70F1FB5-507F-4BEC-8C32-F96E80265064}" sibTransId="{3428C281-D56F-4371-A5B9-FF9E547A5065}"/>
    <dgm:cxn modelId="{34ED3155-84D1-4C4C-857C-0962301431A4}" type="presOf" srcId="{E7D73D5B-D8FE-4366-8C0D-B0162AC22ECA}" destId="{E80BFBCB-42C0-4A3B-9EBB-B63D058AC2CC}" srcOrd="0" destOrd="0" presId="urn:microsoft.com/office/officeart/2005/8/layout/hList1"/>
    <dgm:cxn modelId="{2A75197C-5380-4105-9F55-D63E320A111F}" srcId="{CA3AC37D-15D2-4AE6-8B81-61F0E037EFE7}" destId="{4894119A-2B8D-4389-9AD8-930E5DE2105D}" srcOrd="3" destOrd="0" parTransId="{DC5840E3-40FD-480F-B16E-A3C9646DF3CA}" sibTransId="{47B72C4C-B851-4F03-80FD-8CCD60D24FE0}"/>
    <dgm:cxn modelId="{3DC7697E-3F25-45ED-B2A3-4A2B6D426C85}" type="presOf" srcId="{AECC7A4F-CBB2-4606-A3B1-C8B448CAAB7E}" destId="{5FBB6A7D-3681-46B7-9E84-195018324180}" srcOrd="0" destOrd="3" presId="urn:microsoft.com/office/officeart/2005/8/layout/hList1"/>
    <dgm:cxn modelId="{94BC827F-542E-45E4-BD69-C5663D68AB1D}" type="presOf" srcId="{D2C4AAD2-41F3-4F19-8920-5650D82E9CD5}" destId="{F88ACCC1-137C-4C6C-B2EC-558F84052C47}" srcOrd="0" destOrd="0" presId="urn:microsoft.com/office/officeart/2005/8/layout/hList1"/>
    <dgm:cxn modelId="{7359C881-8131-442B-9C54-F52D59DC3D5E}" type="presOf" srcId="{120F95AC-0D83-4581-BD3B-62F989AE9422}" destId="{92510E7B-3702-4A1E-A2BA-A15A1AF0FFA9}" srcOrd="0" destOrd="0" presId="urn:microsoft.com/office/officeart/2005/8/layout/hList1"/>
    <dgm:cxn modelId="{DE70A98B-E2D0-4A7C-B303-E70FD1ADD47A}" srcId="{E7D73D5B-D8FE-4366-8C0D-B0162AC22ECA}" destId="{E467049A-3736-443B-9E63-1143535A7843}" srcOrd="1" destOrd="0" parTransId="{94C807A8-E71E-4335-A993-1378183BC8F6}" sibTransId="{1CCADE75-6D83-4C4A-8077-EF2D7BF187DC}"/>
    <dgm:cxn modelId="{ED962B8F-516C-42A2-AE9E-41EAD76940B5}" srcId="{4A4BAF04-EE6A-473E-92DD-8CBF414670DD}" destId="{D13EE766-1081-498F-8ACF-FF73F6CF9436}" srcOrd="0" destOrd="0" parTransId="{9E510091-EEE0-4A6D-A61F-4B0FEF736C69}" sibTransId="{EC616961-D7F5-4A68-AEDC-0334A49B378A}"/>
    <dgm:cxn modelId="{B077B795-4418-4DCC-B811-3FE83627F4FD}" srcId="{4A4BAF04-EE6A-473E-92DD-8CBF414670DD}" destId="{2BF15F7C-2529-4617-8A8E-89409C2664AA}" srcOrd="2" destOrd="0" parTransId="{6BA6C817-E1E9-4B5C-8391-F7F88B917E7C}" sibTransId="{10C6E10B-B353-4E06-9B89-E3A11396D017}"/>
    <dgm:cxn modelId="{D6421A97-AE73-4192-BAAA-F47ABF14A2FB}" srcId="{CA3AC37D-15D2-4AE6-8B81-61F0E037EFE7}" destId="{94E0CA6D-890F-429D-8A12-FB2D174EE31A}" srcOrd="0" destOrd="0" parTransId="{0EDAEF16-5193-436F-8A93-26244434682E}" sibTransId="{9C6D4E7E-F3D7-462D-BA7E-41412C62270E}"/>
    <dgm:cxn modelId="{3E335898-0623-435D-8155-2CB2F58C210E}" type="presOf" srcId="{E467049A-3736-443B-9E63-1143535A7843}" destId="{A4027F88-C2AB-4C30-A5E4-BDDB9A800D45}" srcOrd="0" destOrd="1" presId="urn:microsoft.com/office/officeart/2005/8/layout/hList1"/>
    <dgm:cxn modelId="{D007F6AD-372D-446E-ADEB-6A514C36377A}" srcId="{D2C4AAD2-41F3-4F19-8920-5650D82E9CD5}" destId="{CA3AC37D-15D2-4AE6-8B81-61F0E037EFE7}" srcOrd="1" destOrd="0" parTransId="{1F84CEFF-087A-4A88-8493-65DF663F9E94}" sibTransId="{DAF15C0D-4720-42FD-9E91-85C8FFF34D5C}"/>
    <dgm:cxn modelId="{66EB92C5-3C46-44CA-8786-8A428238C6DF}" type="presOf" srcId="{9440F736-50D8-45F0-995E-629B66E73149}" destId="{D3DC8DE6-E388-4087-91E6-A46998574643}" srcOrd="0" destOrd="1" presId="urn:microsoft.com/office/officeart/2005/8/layout/hList1"/>
    <dgm:cxn modelId="{B775D3C5-41A8-44FC-B72C-DC2C44DA920E}" srcId="{E7D73D5B-D8FE-4366-8C0D-B0162AC22ECA}" destId="{D7342130-029D-4B32-82A4-5221B80DD4FA}" srcOrd="2" destOrd="0" parTransId="{35808780-EDBD-480D-8ECE-A20127849984}" sibTransId="{281FC5A7-3943-442F-9A4B-0F7BDB616227}"/>
    <dgm:cxn modelId="{630933C6-6FB0-428F-91A9-3955091BE210}" type="presOf" srcId="{417FD46F-A26A-491E-959E-D987F1467FF7}" destId="{C38DA560-2C48-4D7E-9012-92B3F742C0DE}" srcOrd="0" destOrd="0" presId="urn:microsoft.com/office/officeart/2005/8/layout/hList1"/>
    <dgm:cxn modelId="{68ED61CA-9FCC-4B0B-A828-1F75D41EA3A7}" type="presOf" srcId="{94E0CA6D-890F-429D-8A12-FB2D174EE31A}" destId="{D3DC8DE6-E388-4087-91E6-A46998574643}" srcOrd="0" destOrd="0" presId="urn:microsoft.com/office/officeart/2005/8/layout/hList1"/>
    <dgm:cxn modelId="{08E876D0-25FF-49DE-BF52-8A471CDE5EEB}" srcId="{E7D73D5B-D8FE-4366-8C0D-B0162AC22ECA}" destId="{2389A8F0-8A32-4E25-9E67-C61AB47498A6}" srcOrd="0" destOrd="0" parTransId="{7A30993D-C751-4C4A-877C-35ECB6913EFF}" sibTransId="{FE068865-EF24-4853-A734-7CB41E72439D}"/>
    <dgm:cxn modelId="{9968DDD4-C19C-435B-9CAE-35CE49C8A5BA}" type="presOf" srcId="{4894119A-2B8D-4389-9AD8-930E5DE2105D}" destId="{D3DC8DE6-E388-4087-91E6-A46998574643}" srcOrd="0" destOrd="3" presId="urn:microsoft.com/office/officeart/2005/8/layout/hList1"/>
    <dgm:cxn modelId="{63E898DC-9190-42A7-BF68-521B55CFE4F0}" type="presOf" srcId="{4A4BAF04-EE6A-473E-92DD-8CBF414670DD}" destId="{85DE08C5-EC2F-40C4-868B-7B8818621443}" srcOrd="0" destOrd="0" presId="urn:microsoft.com/office/officeart/2005/8/layout/hList1"/>
    <dgm:cxn modelId="{D8B942E3-1FA5-44E2-A763-7BB2DAE1D568}" srcId="{CA3AC37D-15D2-4AE6-8B81-61F0E037EFE7}" destId="{9440F736-50D8-45F0-995E-629B66E73149}" srcOrd="1" destOrd="0" parTransId="{B2282D76-3AAD-4160-B797-01403F1D372D}" sibTransId="{A2DFBCC0-0DDF-4546-8F59-CA9EE7AF2D3B}"/>
    <dgm:cxn modelId="{C47158E4-573B-45A6-B4DE-347E12693672}" type="presOf" srcId="{2E6A8EE9-6F3B-4883-A72C-64AAF7B72EBD}" destId="{D3DC8DE6-E388-4087-91E6-A46998574643}" srcOrd="0" destOrd="4" presId="urn:microsoft.com/office/officeart/2005/8/layout/hList1"/>
    <dgm:cxn modelId="{3BCE16F0-DA18-4824-B3B4-2CF3233CB156}" srcId="{120F95AC-0D83-4581-BD3B-62F989AE9422}" destId="{417FD46F-A26A-491E-959E-D987F1467FF7}" srcOrd="0" destOrd="0" parTransId="{E411D819-6356-4952-9146-821674F149E6}" sibTransId="{89477B5B-F900-4E32-9664-7340D1024E7D}"/>
    <dgm:cxn modelId="{6D66C3F1-403D-4BE1-9E11-9774E27B2719}" srcId="{D2C4AAD2-41F3-4F19-8920-5650D82E9CD5}" destId="{120F95AC-0D83-4581-BD3B-62F989AE9422}" srcOrd="0" destOrd="0" parTransId="{CBDFD073-D604-413A-9BDC-96F16A0E6D97}" sibTransId="{FA38329F-C276-4D90-B59B-496E4A219849}"/>
    <dgm:cxn modelId="{4E049F7D-666E-4627-BE0C-6385D0BBB825}" type="presParOf" srcId="{F88ACCC1-137C-4C6C-B2EC-558F84052C47}" destId="{80F39923-439A-469C-A363-2EA74FC41399}" srcOrd="0" destOrd="0" presId="urn:microsoft.com/office/officeart/2005/8/layout/hList1"/>
    <dgm:cxn modelId="{CC111C55-6DCA-47AE-96D0-B5F8EFFBCD7E}" type="presParOf" srcId="{80F39923-439A-469C-A363-2EA74FC41399}" destId="{92510E7B-3702-4A1E-A2BA-A15A1AF0FFA9}" srcOrd="0" destOrd="0" presId="urn:microsoft.com/office/officeart/2005/8/layout/hList1"/>
    <dgm:cxn modelId="{DE93F5D2-E065-4CD0-90D9-F9E602F2AF7E}" type="presParOf" srcId="{80F39923-439A-469C-A363-2EA74FC41399}" destId="{C38DA560-2C48-4D7E-9012-92B3F742C0DE}" srcOrd="1" destOrd="0" presId="urn:microsoft.com/office/officeart/2005/8/layout/hList1"/>
    <dgm:cxn modelId="{69683A95-380B-43D8-B84F-63C65647D8AC}" type="presParOf" srcId="{F88ACCC1-137C-4C6C-B2EC-558F84052C47}" destId="{BF5820E6-54C2-410E-957C-329144E6981B}" srcOrd="1" destOrd="0" presId="urn:microsoft.com/office/officeart/2005/8/layout/hList1"/>
    <dgm:cxn modelId="{07601F50-A156-478E-9254-7246024A02AE}" type="presParOf" srcId="{F88ACCC1-137C-4C6C-B2EC-558F84052C47}" destId="{E1DFB48A-AA96-4B3C-97BC-BD1316E3792B}" srcOrd="2" destOrd="0" presId="urn:microsoft.com/office/officeart/2005/8/layout/hList1"/>
    <dgm:cxn modelId="{BA581858-16B2-4C35-B977-F6FB983C68AC}" type="presParOf" srcId="{E1DFB48A-AA96-4B3C-97BC-BD1316E3792B}" destId="{6BD2FA3C-CE2C-4AF6-8481-1B42E05F9AED}" srcOrd="0" destOrd="0" presId="urn:microsoft.com/office/officeart/2005/8/layout/hList1"/>
    <dgm:cxn modelId="{4D531E56-FCE2-4CF3-8C46-C94B01DADF6A}" type="presParOf" srcId="{E1DFB48A-AA96-4B3C-97BC-BD1316E3792B}" destId="{D3DC8DE6-E388-4087-91E6-A46998574643}" srcOrd="1" destOrd="0" presId="urn:microsoft.com/office/officeart/2005/8/layout/hList1"/>
    <dgm:cxn modelId="{17A9CE81-7870-462D-9714-0110EEAAB75C}" type="presParOf" srcId="{F88ACCC1-137C-4C6C-B2EC-558F84052C47}" destId="{B2EA243B-39B4-4BCB-B0C9-11797B635B40}" srcOrd="3" destOrd="0" presId="urn:microsoft.com/office/officeart/2005/8/layout/hList1"/>
    <dgm:cxn modelId="{ABFF8E39-FAEA-4483-AA45-23637F898CDA}" type="presParOf" srcId="{F88ACCC1-137C-4C6C-B2EC-558F84052C47}" destId="{B7662B38-9A32-49F9-97D6-53E509EB472C}" srcOrd="4" destOrd="0" presId="urn:microsoft.com/office/officeart/2005/8/layout/hList1"/>
    <dgm:cxn modelId="{76009F58-72C0-45E1-B8AE-AB92B41416AD}" type="presParOf" srcId="{B7662B38-9A32-49F9-97D6-53E509EB472C}" destId="{85DE08C5-EC2F-40C4-868B-7B8818621443}" srcOrd="0" destOrd="0" presId="urn:microsoft.com/office/officeart/2005/8/layout/hList1"/>
    <dgm:cxn modelId="{38C57C16-E890-4EF0-A056-3BBA9A6689DF}" type="presParOf" srcId="{B7662B38-9A32-49F9-97D6-53E509EB472C}" destId="{5FBB6A7D-3681-46B7-9E84-195018324180}" srcOrd="1" destOrd="0" presId="urn:microsoft.com/office/officeart/2005/8/layout/hList1"/>
    <dgm:cxn modelId="{AA669880-0665-45E8-A61C-87371BAF496C}" type="presParOf" srcId="{F88ACCC1-137C-4C6C-B2EC-558F84052C47}" destId="{A627ABC1-FCF0-49ED-8A76-E0CEA68A2B1A}" srcOrd="5" destOrd="0" presId="urn:microsoft.com/office/officeart/2005/8/layout/hList1"/>
    <dgm:cxn modelId="{E7630EA3-43F2-4BC6-AACA-9D49C0E94BE5}" type="presParOf" srcId="{F88ACCC1-137C-4C6C-B2EC-558F84052C47}" destId="{7AB86056-2AF7-4C5E-B8BF-B17F0C4AD869}" srcOrd="6" destOrd="0" presId="urn:microsoft.com/office/officeart/2005/8/layout/hList1"/>
    <dgm:cxn modelId="{248393FB-D834-487C-8B08-B705A45A121A}" type="presParOf" srcId="{7AB86056-2AF7-4C5E-B8BF-B17F0C4AD869}" destId="{E80BFBCB-42C0-4A3B-9EBB-B63D058AC2CC}" srcOrd="0" destOrd="0" presId="urn:microsoft.com/office/officeart/2005/8/layout/hList1"/>
    <dgm:cxn modelId="{10B1B466-12FC-46BC-8DD3-CB5502C0BB75}" type="presParOf" srcId="{7AB86056-2AF7-4C5E-B8BF-B17F0C4AD869}" destId="{A4027F88-C2AB-4C30-A5E4-BDDB9A800D45}" srcOrd="1" destOrd="0" presId="urn:microsoft.com/office/officeart/2005/8/layout/hList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510E7B-3702-4A1E-A2BA-A15A1AF0FFA9}">
      <dsp:nvSpPr>
        <dsp:cNvPr id="0" name=""/>
        <dsp:cNvSpPr/>
      </dsp:nvSpPr>
      <dsp:spPr>
        <a:xfrm>
          <a:off x="2165" y="6302"/>
          <a:ext cx="1302063" cy="345600"/>
        </a:xfrm>
        <a:prstGeom prst="rect">
          <a:avLst/>
        </a:prstGeom>
        <a:solidFill>
          <a:srgbClr val="FFCD00">
            <a:hueOff val="0"/>
            <a:satOff val="0"/>
            <a:lumOff val="0"/>
            <a:alphaOff val="0"/>
          </a:srgbClr>
        </a:solidFill>
        <a:ln w="25400" cap="flat" cmpd="sng" algn="ctr">
          <a:solidFill>
            <a:srgbClr val="FFCD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fr-FR" sz="1200" kern="1200">
              <a:solidFill>
                <a:srgbClr val="786E64">
                  <a:lumMod val="75000"/>
                </a:srgbClr>
              </a:solidFill>
              <a:latin typeface="Impact" panose="020B0806030902050204" pitchFamily="34" charset="0"/>
              <a:ea typeface="+mn-ea"/>
              <a:cs typeface="+mn-cs"/>
            </a:rPr>
            <a:t>Gouvernance</a:t>
          </a:r>
        </a:p>
      </dsp:txBody>
      <dsp:txXfrm>
        <a:off x="2165" y="6302"/>
        <a:ext cx="1302063" cy="345600"/>
      </dsp:txXfrm>
    </dsp:sp>
    <dsp:sp modelId="{C38DA560-2C48-4D7E-9012-92B3F742C0DE}">
      <dsp:nvSpPr>
        <dsp:cNvPr id="0" name=""/>
        <dsp:cNvSpPr/>
      </dsp:nvSpPr>
      <dsp:spPr>
        <a:xfrm>
          <a:off x="2165" y="351902"/>
          <a:ext cx="1302063" cy="1539945"/>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Transparence et équilibre</a:t>
          </a:r>
        </a:p>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Anticipation</a:t>
          </a:r>
        </a:p>
      </dsp:txBody>
      <dsp:txXfrm>
        <a:off x="2165" y="351902"/>
        <a:ext cx="1302063" cy="1539945"/>
      </dsp:txXfrm>
    </dsp:sp>
    <dsp:sp modelId="{6BD2FA3C-CE2C-4AF6-8481-1B42E05F9AED}">
      <dsp:nvSpPr>
        <dsp:cNvPr id="0" name=""/>
        <dsp:cNvSpPr/>
      </dsp:nvSpPr>
      <dsp:spPr>
        <a:xfrm>
          <a:off x="1486517" y="6302"/>
          <a:ext cx="1302063" cy="345600"/>
        </a:xfrm>
        <a:prstGeom prst="rect">
          <a:avLst/>
        </a:prstGeom>
        <a:solidFill>
          <a:srgbClr val="FFCD00">
            <a:hueOff val="0"/>
            <a:satOff val="0"/>
            <a:lumOff val="0"/>
            <a:alphaOff val="0"/>
          </a:srgbClr>
        </a:solidFill>
        <a:ln w="25400" cap="flat" cmpd="sng" algn="ctr">
          <a:solidFill>
            <a:srgbClr val="FFCD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fr-FR" sz="1200" kern="1200">
              <a:solidFill>
                <a:srgbClr val="786E64">
                  <a:lumMod val="75000"/>
                </a:srgbClr>
              </a:solidFill>
              <a:latin typeface="Impact" panose="020B0806030902050204" pitchFamily="34" charset="0"/>
              <a:ea typeface="+mn-ea"/>
              <a:cs typeface="+mn-cs"/>
            </a:rPr>
            <a:t>Capital Humain</a:t>
          </a:r>
        </a:p>
      </dsp:txBody>
      <dsp:txXfrm>
        <a:off x="1486517" y="6302"/>
        <a:ext cx="1302063" cy="345600"/>
      </dsp:txXfrm>
    </dsp:sp>
    <dsp:sp modelId="{D3DC8DE6-E388-4087-91E6-A46998574643}">
      <dsp:nvSpPr>
        <dsp:cNvPr id="0" name=""/>
        <dsp:cNvSpPr/>
      </dsp:nvSpPr>
      <dsp:spPr>
        <a:xfrm>
          <a:off x="1486517" y="351902"/>
          <a:ext cx="1302063" cy="1539945"/>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Emploi et politique sociale</a:t>
          </a:r>
        </a:p>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Gestion des emplois et compétences</a:t>
          </a:r>
        </a:p>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Diversité et égalité des chances</a:t>
          </a:r>
        </a:p>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Bien-être au travail</a:t>
          </a:r>
        </a:p>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Climat et dialogue social</a:t>
          </a:r>
        </a:p>
      </dsp:txBody>
      <dsp:txXfrm>
        <a:off x="1486517" y="351902"/>
        <a:ext cx="1302063" cy="1539945"/>
      </dsp:txXfrm>
    </dsp:sp>
    <dsp:sp modelId="{85DE08C5-EC2F-40C4-868B-7B8818621443}">
      <dsp:nvSpPr>
        <dsp:cNvPr id="0" name=""/>
        <dsp:cNvSpPr/>
      </dsp:nvSpPr>
      <dsp:spPr>
        <a:xfrm>
          <a:off x="2970869" y="6302"/>
          <a:ext cx="1302063" cy="345600"/>
        </a:xfrm>
        <a:prstGeom prst="rect">
          <a:avLst/>
        </a:prstGeom>
        <a:solidFill>
          <a:srgbClr val="FFCD00">
            <a:hueOff val="0"/>
            <a:satOff val="0"/>
            <a:lumOff val="0"/>
            <a:alphaOff val="0"/>
          </a:srgbClr>
        </a:solidFill>
        <a:ln w="25400" cap="flat" cmpd="sng" algn="ctr">
          <a:solidFill>
            <a:srgbClr val="FFCD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fr-FR" sz="1200" kern="1200">
              <a:solidFill>
                <a:srgbClr val="786E64">
                  <a:lumMod val="75000"/>
                </a:srgbClr>
              </a:solidFill>
              <a:latin typeface="Impact" panose="020B0806030902050204" pitchFamily="34" charset="0"/>
              <a:ea typeface="+mn-ea"/>
              <a:cs typeface="+mn-cs"/>
            </a:rPr>
            <a:t>Environnement</a:t>
          </a:r>
        </a:p>
      </dsp:txBody>
      <dsp:txXfrm>
        <a:off x="2970869" y="6302"/>
        <a:ext cx="1302063" cy="345600"/>
      </dsp:txXfrm>
    </dsp:sp>
    <dsp:sp modelId="{5FBB6A7D-3681-46B7-9E84-195018324180}">
      <dsp:nvSpPr>
        <dsp:cNvPr id="0" name=""/>
        <dsp:cNvSpPr/>
      </dsp:nvSpPr>
      <dsp:spPr>
        <a:xfrm>
          <a:off x="2970869" y="351902"/>
          <a:ext cx="1302063" cy="1539945"/>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Politique environnementale et système de management</a:t>
          </a:r>
        </a:p>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Energie et gaz à effets de serre</a:t>
          </a:r>
        </a:p>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Intrants et Déchets</a:t>
          </a:r>
        </a:p>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Maîtrise des autres impacts environnementaux</a:t>
          </a:r>
        </a:p>
      </dsp:txBody>
      <dsp:txXfrm>
        <a:off x="2970869" y="351902"/>
        <a:ext cx="1302063" cy="1539945"/>
      </dsp:txXfrm>
    </dsp:sp>
    <dsp:sp modelId="{E80BFBCB-42C0-4A3B-9EBB-B63D058AC2CC}">
      <dsp:nvSpPr>
        <dsp:cNvPr id="0" name=""/>
        <dsp:cNvSpPr/>
      </dsp:nvSpPr>
      <dsp:spPr>
        <a:xfrm>
          <a:off x="4455221" y="6302"/>
          <a:ext cx="1302063" cy="345600"/>
        </a:xfrm>
        <a:prstGeom prst="rect">
          <a:avLst/>
        </a:prstGeom>
        <a:solidFill>
          <a:srgbClr val="FFCD00">
            <a:hueOff val="0"/>
            <a:satOff val="0"/>
            <a:lumOff val="0"/>
            <a:alphaOff val="0"/>
          </a:srgbClr>
        </a:solidFill>
        <a:ln w="25400" cap="flat" cmpd="sng" algn="ctr">
          <a:solidFill>
            <a:srgbClr val="FFCD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fr-FR" sz="1200" kern="1200">
              <a:solidFill>
                <a:srgbClr val="786E64">
                  <a:lumMod val="75000"/>
                </a:srgbClr>
              </a:solidFill>
              <a:latin typeface="Impact" panose="020B0806030902050204" pitchFamily="34" charset="0"/>
              <a:ea typeface="+mn-ea"/>
              <a:cs typeface="+mn-cs"/>
            </a:rPr>
            <a:t>Parties Prenantes</a:t>
          </a:r>
        </a:p>
      </dsp:txBody>
      <dsp:txXfrm>
        <a:off x="4455221" y="6302"/>
        <a:ext cx="1302063" cy="345600"/>
      </dsp:txXfrm>
    </dsp:sp>
    <dsp:sp modelId="{A4027F88-C2AB-4C30-A5E4-BDDB9A800D45}">
      <dsp:nvSpPr>
        <dsp:cNvPr id="0" name=""/>
        <dsp:cNvSpPr/>
      </dsp:nvSpPr>
      <dsp:spPr>
        <a:xfrm>
          <a:off x="4455221" y="351902"/>
          <a:ext cx="1302063" cy="1539945"/>
        </a:xfrm>
        <a:prstGeom prst="rect">
          <a:avLst/>
        </a:prstGeom>
        <a:solidFill>
          <a:sysClr val="window" lastClr="FFFFFF">
            <a:alpha val="90000"/>
          </a:sysClr>
        </a:solidFill>
        <a:ln w="25400" cap="flat" cmpd="sng" algn="ctr">
          <a:solidFill>
            <a:srgbClr val="FFCD00">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Relations pérennes et éthiques avec les fournisseurs</a:t>
          </a:r>
        </a:p>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Qualité et satisfaction des clients</a:t>
          </a:r>
        </a:p>
        <a:p>
          <a:pPr marL="57150" lvl="1" indent="-57150" algn="l" defTabSz="444500">
            <a:lnSpc>
              <a:spcPct val="90000"/>
            </a:lnSpc>
            <a:spcBef>
              <a:spcPct val="0"/>
            </a:spcBef>
            <a:spcAft>
              <a:spcPct val="15000"/>
            </a:spcAft>
            <a:buChar char="•"/>
          </a:pPr>
          <a:r>
            <a:rPr lang="fr-FR" sz="1000" kern="1200">
              <a:solidFill>
                <a:sysClr val="windowText" lastClr="000000">
                  <a:lumMod val="65000"/>
                  <a:lumOff val="35000"/>
                </a:sysClr>
              </a:solidFill>
              <a:latin typeface="Arial" panose="020B0604020202020204" pitchFamily="34" charset="0"/>
              <a:ea typeface="+mn-ea"/>
              <a:cs typeface="Arial" panose="020B0604020202020204" pitchFamily="34" charset="0"/>
            </a:rPr>
            <a:t>Relations avec les autres parties prenantes externes</a:t>
          </a:r>
        </a:p>
      </dsp:txBody>
      <dsp:txXfrm>
        <a:off x="4455221" y="351902"/>
        <a:ext cx="1302063" cy="153994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piFrance">
      <a:dk1>
        <a:srgbClr val="000000"/>
      </a:dk1>
      <a:lt1>
        <a:srgbClr val="FFFFFF"/>
      </a:lt1>
      <a:dk2>
        <a:srgbClr val="C5C7C8"/>
      </a:dk2>
      <a:lt2>
        <a:srgbClr val="FFFFFF"/>
      </a:lt2>
      <a:accent1>
        <a:srgbClr val="FFCD00"/>
      </a:accent1>
      <a:accent2>
        <a:srgbClr val="786E64"/>
      </a:accent2>
      <a:accent3>
        <a:srgbClr val="C83764"/>
      </a:accent3>
      <a:accent4>
        <a:srgbClr val="FFA000"/>
      </a:accent4>
      <a:accent5>
        <a:srgbClr val="AF282D"/>
      </a:accent5>
      <a:accent6>
        <a:srgbClr val="EB78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47524286AF7E0479FDEA70213CDD21C" ma:contentTypeVersion="15" ma:contentTypeDescription="Crée un document." ma:contentTypeScope="" ma:versionID="bfed00b675d6dcbec85214647177c101">
  <xsd:schema xmlns:xsd="http://www.w3.org/2001/XMLSchema" xmlns:xs="http://www.w3.org/2001/XMLSchema" xmlns:p="http://schemas.microsoft.com/office/2006/metadata/properties" xmlns:ns2="e58349dd-a673-4ff2-8b48-74d0d20e50e3" xmlns:ns3="6a1ab473-d25d-4af6-a23b-e52cb7f33841" targetNamespace="http://schemas.microsoft.com/office/2006/metadata/properties" ma:root="true" ma:fieldsID="5d86b2b38af4d34b3b42af24f7776549" ns2:_="" ns3:_="">
    <xsd:import namespace="e58349dd-a673-4ff2-8b48-74d0d20e50e3"/>
    <xsd:import namespace="6a1ab473-d25d-4af6-a23b-e52cb7f338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349dd-a673-4ff2-8b48-74d0d20e5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f5bfe009-0698-4f0a-aaca-d9746fe593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1ab473-d25d-4af6-a23b-e52cb7f33841"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e0541dd5-3f91-4050-810d-1a707b0c265c}" ma:internalName="TaxCatchAll" ma:showField="CatchAllData" ma:web="6a1ab473-d25d-4af6-a23b-e52cb7f338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8349dd-a673-4ff2-8b48-74d0d20e50e3">
      <Terms xmlns="http://schemas.microsoft.com/office/infopath/2007/PartnerControls"/>
    </lcf76f155ced4ddcb4097134ff3c332f>
    <TaxCatchAll xmlns="6a1ab473-d25d-4af6-a23b-e52cb7f3384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2A7D59-4D84-47BD-A83D-0B7DA939149E}">
  <ds:schemaRefs>
    <ds:schemaRef ds:uri="http://schemas.openxmlformats.org/officeDocument/2006/bibliography"/>
  </ds:schemaRefs>
</ds:datastoreItem>
</file>

<file path=customXml/itemProps2.xml><?xml version="1.0" encoding="utf-8"?>
<ds:datastoreItem xmlns:ds="http://schemas.openxmlformats.org/officeDocument/2006/customXml" ds:itemID="{D09EAFA4-9739-4BAF-82DE-1F36B5EED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8349dd-a673-4ff2-8b48-74d0d20e50e3"/>
    <ds:schemaRef ds:uri="6a1ab473-d25d-4af6-a23b-e52cb7f33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82A4FC-03B1-4C08-B24F-B7882296F14C}">
  <ds:schemaRefs>
    <ds:schemaRef ds:uri="http://schemas.microsoft.com/office/2006/metadata/properties"/>
    <ds:schemaRef ds:uri="http://schemas.microsoft.com/office/infopath/2007/PartnerControls"/>
    <ds:schemaRef ds:uri="e58349dd-a673-4ff2-8b48-74d0d20e50e3"/>
    <ds:schemaRef ds:uri="6a1ab473-d25d-4af6-a23b-e52cb7f33841"/>
  </ds:schemaRefs>
</ds:datastoreItem>
</file>

<file path=customXml/itemProps4.xml><?xml version="1.0" encoding="utf-8"?>
<ds:datastoreItem xmlns:ds="http://schemas.openxmlformats.org/officeDocument/2006/customXml" ds:itemID="{14D3863E-F692-4F12-B566-652FEC781C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Bpifrance_Document_long</Template>
  <TotalTime>4</TotalTime>
  <Pages>30</Pages>
  <Words>12037</Words>
  <Characters>66209</Characters>
  <Application>Microsoft Office Word</Application>
  <DocSecurity>0</DocSecurity>
  <Lines>551</Lines>
  <Paragraphs>156</Paragraphs>
  <ScaleCrop>false</ScaleCrop>
  <HeadingPairs>
    <vt:vector size="2" baseType="variant">
      <vt:variant>
        <vt:lpstr>Titre</vt:lpstr>
      </vt:variant>
      <vt:variant>
        <vt:i4>1</vt:i4>
      </vt:variant>
    </vt:vector>
  </HeadingPairs>
  <TitlesOfParts>
    <vt:vector size="1" baseType="lpstr">
      <vt:lpstr>Titre (cf. propriétés du document)</vt:lpstr>
    </vt:vector>
  </TitlesOfParts>
  <Manager>Responsable (cf. propriétés du document)</Manager>
  <Company>Bpifrance</Company>
  <LinksUpToDate>false</LinksUpToDate>
  <CharactersWithSpaces>78090</CharactersWithSpaces>
  <SharedDoc>false</SharedDoc>
  <HLinks>
    <vt:vector size="378" baseType="variant">
      <vt:variant>
        <vt:i4>3539026</vt:i4>
      </vt:variant>
      <vt:variant>
        <vt:i4>342</vt:i4>
      </vt:variant>
      <vt:variant>
        <vt:i4>0</vt:i4>
      </vt:variant>
      <vt:variant>
        <vt:i4>5</vt:i4>
      </vt:variant>
      <vt:variant>
        <vt:lpwstr/>
      </vt:variant>
      <vt:variant>
        <vt:lpwstr>_Un_plan_d'action</vt:lpwstr>
      </vt:variant>
      <vt:variant>
        <vt:i4>1376314</vt:i4>
      </vt:variant>
      <vt:variant>
        <vt:i4>332</vt:i4>
      </vt:variant>
      <vt:variant>
        <vt:i4>0</vt:i4>
      </vt:variant>
      <vt:variant>
        <vt:i4>5</vt:i4>
      </vt:variant>
      <vt:variant>
        <vt:lpwstr/>
      </vt:variant>
      <vt:variant>
        <vt:lpwstr>_Toc138140702</vt:lpwstr>
      </vt:variant>
      <vt:variant>
        <vt:i4>1376314</vt:i4>
      </vt:variant>
      <vt:variant>
        <vt:i4>326</vt:i4>
      </vt:variant>
      <vt:variant>
        <vt:i4>0</vt:i4>
      </vt:variant>
      <vt:variant>
        <vt:i4>5</vt:i4>
      </vt:variant>
      <vt:variant>
        <vt:lpwstr/>
      </vt:variant>
      <vt:variant>
        <vt:lpwstr>_Toc138140701</vt:lpwstr>
      </vt:variant>
      <vt:variant>
        <vt:i4>1376314</vt:i4>
      </vt:variant>
      <vt:variant>
        <vt:i4>320</vt:i4>
      </vt:variant>
      <vt:variant>
        <vt:i4>0</vt:i4>
      </vt:variant>
      <vt:variant>
        <vt:i4>5</vt:i4>
      </vt:variant>
      <vt:variant>
        <vt:lpwstr/>
      </vt:variant>
      <vt:variant>
        <vt:lpwstr>_Toc138140700</vt:lpwstr>
      </vt:variant>
      <vt:variant>
        <vt:i4>1835067</vt:i4>
      </vt:variant>
      <vt:variant>
        <vt:i4>314</vt:i4>
      </vt:variant>
      <vt:variant>
        <vt:i4>0</vt:i4>
      </vt:variant>
      <vt:variant>
        <vt:i4>5</vt:i4>
      </vt:variant>
      <vt:variant>
        <vt:lpwstr/>
      </vt:variant>
      <vt:variant>
        <vt:lpwstr>_Toc138140699</vt:lpwstr>
      </vt:variant>
      <vt:variant>
        <vt:i4>1835067</vt:i4>
      </vt:variant>
      <vt:variant>
        <vt:i4>308</vt:i4>
      </vt:variant>
      <vt:variant>
        <vt:i4>0</vt:i4>
      </vt:variant>
      <vt:variant>
        <vt:i4>5</vt:i4>
      </vt:variant>
      <vt:variant>
        <vt:lpwstr/>
      </vt:variant>
      <vt:variant>
        <vt:lpwstr>_Toc138140698</vt:lpwstr>
      </vt:variant>
      <vt:variant>
        <vt:i4>1835067</vt:i4>
      </vt:variant>
      <vt:variant>
        <vt:i4>302</vt:i4>
      </vt:variant>
      <vt:variant>
        <vt:i4>0</vt:i4>
      </vt:variant>
      <vt:variant>
        <vt:i4>5</vt:i4>
      </vt:variant>
      <vt:variant>
        <vt:lpwstr/>
      </vt:variant>
      <vt:variant>
        <vt:lpwstr>_Toc138140697</vt:lpwstr>
      </vt:variant>
      <vt:variant>
        <vt:i4>1835067</vt:i4>
      </vt:variant>
      <vt:variant>
        <vt:i4>296</vt:i4>
      </vt:variant>
      <vt:variant>
        <vt:i4>0</vt:i4>
      </vt:variant>
      <vt:variant>
        <vt:i4>5</vt:i4>
      </vt:variant>
      <vt:variant>
        <vt:lpwstr/>
      </vt:variant>
      <vt:variant>
        <vt:lpwstr>_Toc138140696</vt:lpwstr>
      </vt:variant>
      <vt:variant>
        <vt:i4>1835067</vt:i4>
      </vt:variant>
      <vt:variant>
        <vt:i4>290</vt:i4>
      </vt:variant>
      <vt:variant>
        <vt:i4>0</vt:i4>
      </vt:variant>
      <vt:variant>
        <vt:i4>5</vt:i4>
      </vt:variant>
      <vt:variant>
        <vt:lpwstr/>
      </vt:variant>
      <vt:variant>
        <vt:lpwstr>_Toc138140695</vt:lpwstr>
      </vt:variant>
      <vt:variant>
        <vt:i4>1835067</vt:i4>
      </vt:variant>
      <vt:variant>
        <vt:i4>284</vt:i4>
      </vt:variant>
      <vt:variant>
        <vt:i4>0</vt:i4>
      </vt:variant>
      <vt:variant>
        <vt:i4>5</vt:i4>
      </vt:variant>
      <vt:variant>
        <vt:lpwstr/>
      </vt:variant>
      <vt:variant>
        <vt:lpwstr>_Toc138140694</vt:lpwstr>
      </vt:variant>
      <vt:variant>
        <vt:i4>1835067</vt:i4>
      </vt:variant>
      <vt:variant>
        <vt:i4>278</vt:i4>
      </vt:variant>
      <vt:variant>
        <vt:i4>0</vt:i4>
      </vt:variant>
      <vt:variant>
        <vt:i4>5</vt:i4>
      </vt:variant>
      <vt:variant>
        <vt:lpwstr/>
      </vt:variant>
      <vt:variant>
        <vt:lpwstr>_Toc138140693</vt:lpwstr>
      </vt:variant>
      <vt:variant>
        <vt:i4>1835067</vt:i4>
      </vt:variant>
      <vt:variant>
        <vt:i4>272</vt:i4>
      </vt:variant>
      <vt:variant>
        <vt:i4>0</vt:i4>
      </vt:variant>
      <vt:variant>
        <vt:i4>5</vt:i4>
      </vt:variant>
      <vt:variant>
        <vt:lpwstr/>
      </vt:variant>
      <vt:variant>
        <vt:lpwstr>_Toc138140692</vt:lpwstr>
      </vt:variant>
      <vt:variant>
        <vt:i4>1835067</vt:i4>
      </vt:variant>
      <vt:variant>
        <vt:i4>266</vt:i4>
      </vt:variant>
      <vt:variant>
        <vt:i4>0</vt:i4>
      </vt:variant>
      <vt:variant>
        <vt:i4>5</vt:i4>
      </vt:variant>
      <vt:variant>
        <vt:lpwstr/>
      </vt:variant>
      <vt:variant>
        <vt:lpwstr>_Toc138140691</vt:lpwstr>
      </vt:variant>
      <vt:variant>
        <vt:i4>1835067</vt:i4>
      </vt:variant>
      <vt:variant>
        <vt:i4>260</vt:i4>
      </vt:variant>
      <vt:variant>
        <vt:i4>0</vt:i4>
      </vt:variant>
      <vt:variant>
        <vt:i4>5</vt:i4>
      </vt:variant>
      <vt:variant>
        <vt:lpwstr/>
      </vt:variant>
      <vt:variant>
        <vt:lpwstr>_Toc138140690</vt:lpwstr>
      </vt:variant>
      <vt:variant>
        <vt:i4>1900603</vt:i4>
      </vt:variant>
      <vt:variant>
        <vt:i4>254</vt:i4>
      </vt:variant>
      <vt:variant>
        <vt:i4>0</vt:i4>
      </vt:variant>
      <vt:variant>
        <vt:i4>5</vt:i4>
      </vt:variant>
      <vt:variant>
        <vt:lpwstr/>
      </vt:variant>
      <vt:variant>
        <vt:lpwstr>_Toc138140689</vt:lpwstr>
      </vt:variant>
      <vt:variant>
        <vt:i4>1900603</vt:i4>
      </vt:variant>
      <vt:variant>
        <vt:i4>248</vt:i4>
      </vt:variant>
      <vt:variant>
        <vt:i4>0</vt:i4>
      </vt:variant>
      <vt:variant>
        <vt:i4>5</vt:i4>
      </vt:variant>
      <vt:variant>
        <vt:lpwstr/>
      </vt:variant>
      <vt:variant>
        <vt:lpwstr>_Toc138140688</vt:lpwstr>
      </vt:variant>
      <vt:variant>
        <vt:i4>1900603</vt:i4>
      </vt:variant>
      <vt:variant>
        <vt:i4>242</vt:i4>
      </vt:variant>
      <vt:variant>
        <vt:i4>0</vt:i4>
      </vt:variant>
      <vt:variant>
        <vt:i4>5</vt:i4>
      </vt:variant>
      <vt:variant>
        <vt:lpwstr/>
      </vt:variant>
      <vt:variant>
        <vt:lpwstr>_Toc138140687</vt:lpwstr>
      </vt:variant>
      <vt:variant>
        <vt:i4>1900603</vt:i4>
      </vt:variant>
      <vt:variant>
        <vt:i4>236</vt:i4>
      </vt:variant>
      <vt:variant>
        <vt:i4>0</vt:i4>
      </vt:variant>
      <vt:variant>
        <vt:i4>5</vt:i4>
      </vt:variant>
      <vt:variant>
        <vt:lpwstr/>
      </vt:variant>
      <vt:variant>
        <vt:lpwstr>_Toc138140686</vt:lpwstr>
      </vt:variant>
      <vt:variant>
        <vt:i4>1900603</vt:i4>
      </vt:variant>
      <vt:variant>
        <vt:i4>230</vt:i4>
      </vt:variant>
      <vt:variant>
        <vt:i4>0</vt:i4>
      </vt:variant>
      <vt:variant>
        <vt:i4>5</vt:i4>
      </vt:variant>
      <vt:variant>
        <vt:lpwstr/>
      </vt:variant>
      <vt:variant>
        <vt:lpwstr>_Toc138140685</vt:lpwstr>
      </vt:variant>
      <vt:variant>
        <vt:i4>1900603</vt:i4>
      </vt:variant>
      <vt:variant>
        <vt:i4>224</vt:i4>
      </vt:variant>
      <vt:variant>
        <vt:i4>0</vt:i4>
      </vt:variant>
      <vt:variant>
        <vt:i4>5</vt:i4>
      </vt:variant>
      <vt:variant>
        <vt:lpwstr/>
      </vt:variant>
      <vt:variant>
        <vt:lpwstr>_Toc138140684</vt:lpwstr>
      </vt:variant>
      <vt:variant>
        <vt:i4>1900603</vt:i4>
      </vt:variant>
      <vt:variant>
        <vt:i4>218</vt:i4>
      </vt:variant>
      <vt:variant>
        <vt:i4>0</vt:i4>
      </vt:variant>
      <vt:variant>
        <vt:i4>5</vt:i4>
      </vt:variant>
      <vt:variant>
        <vt:lpwstr/>
      </vt:variant>
      <vt:variant>
        <vt:lpwstr>_Toc138140683</vt:lpwstr>
      </vt:variant>
      <vt:variant>
        <vt:i4>1900603</vt:i4>
      </vt:variant>
      <vt:variant>
        <vt:i4>212</vt:i4>
      </vt:variant>
      <vt:variant>
        <vt:i4>0</vt:i4>
      </vt:variant>
      <vt:variant>
        <vt:i4>5</vt:i4>
      </vt:variant>
      <vt:variant>
        <vt:lpwstr/>
      </vt:variant>
      <vt:variant>
        <vt:lpwstr>_Toc138140682</vt:lpwstr>
      </vt:variant>
      <vt:variant>
        <vt:i4>1900603</vt:i4>
      </vt:variant>
      <vt:variant>
        <vt:i4>206</vt:i4>
      </vt:variant>
      <vt:variant>
        <vt:i4>0</vt:i4>
      </vt:variant>
      <vt:variant>
        <vt:i4>5</vt:i4>
      </vt:variant>
      <vt:variant>
        <vt:lpwstr/>
      </vt:variant>
      <vt:variant>
        <vt:lpwstr>_Toc138140681</vt:lpwstr>
      </vt:variant>
      <vt:variant>
        <vt:i4>1900603</vt:i4>
      </vt:variant>
      <vt:variant>
        <vt:i4>200</vt:i4>
      </vt:variant>
      <vt:variant>
        <vt:i4>0</vt:i4>
      </vt:variant>
      <vt:variant>
        <vt:i4>5</vt:i4>
      </vt:variant>
      <vt:variant>
        <vt:lpwstr/>
      </vt:variant>
      <vt:variant>
        <vt:lpwstr>_Toc138140680</vt:lpwstr>
      </vt:variant>
      <vt:variant>
        <vt:i4>1179707</vt:i4>
      </vt:variant>
      <vt:variant>
        <vt:i4>194</vt:i4>
      </vt:variant>
      <vt:variant>
        <vt:i4>0</vt:i4>
      </vt:variant>
      <vt:variant>
        <vt:i4>5</vt:i4>
      </vt:variant>
      <vt:variant>
        <vt:lpwstr/>
      </vt:variant>
      <vt:variant>
        <vt:lpwstr>_Toc138140679</vt:lpwstr>
      </vt:variant>
      <vt:variant>
        <vt:i4>1179707</vt:i4>
      </vt:variant>
      <vt:variant>
        <vt:i4>188</vt:i4>
      </vt:variant>
      <vt:variant>
        <vt:i4>0</vt:i4>
      </vt:variant>
      <vt:variant>
        <vt:i4>5</vt:i4>
      </vt:variant>
      <vt:variant>
        <vt:lpwstr/>
      </vt:variant>
      <vt:variant>
        <vt:lpwstr>_Toc138140678</vt:lpwstr>
      </vt:variant>
      <vt:variant>
        <vt:i4>1179707</vt:i4>
      </vt:variant>
      <vt:variant>
        <vt:i4>182</vt:i4>
      </vt:variant>
      <vt:variant>
        <vt:i4>0</vt:i4>
      </vt:variant>
      <vt:variant>
        <vt:i4>5</vt:i4>
      </vt:variant>
      <vt:variant>
        <vt:lpwstr/>
      </vt:variant>
      <vt:variant>
        <vt:lpwstr>_Toc138140677</vt:lpwstr>
      </vt:variant>
      <vt:variant>
        <vt:i4>1179707</vt:i4>
      </vt:variant>
      <vt:variant>
        <vt:i4>176</vt:i4>
      </vt:variant>
      <vt:variant>
        <vt:i4>0</vt:i4>
      </vt:variant>
      <vt:variant>
        <vt:i4>5</vt:i4>
      </vt:variant>
      <vt:variant>
        <vt:lpwstr/>
      </vt:variant>
      <vt:variant>
        <vt:lpwstr>_Toc138140676</vt:lpwstr>
      </vt:variant>
      <vt:variant>
        <vt:i4>1179707</vt:i4>
      </vt:variant>
      <vt:variant>
        <vt:i4>170</vt:i4>
      </vt:variant>
      <vt:variant>
        <vt:i4>0</vt:i4>
      </vt:variant>
      <vt:variant>
        <vt:i4>5</vt:i4>
      </vt:variant>
      <vt:variant>
        <vt:lpwstr/>
      </vt:variant>
      <vt:variant>
        <vt:lpwstr>_Toc138140675</vt:lpwstr>
      </vt:variant>
      <vt:variant>
        <vt:i4>1179707</vt:i4>
      </vt:variant>
      <vt:variant>
        <vt:i4>164</vt:i4>
      </vt:variant>
      <vt:variant>
        <vt:i4>0</vt:i4>
      </vt:variant>
      <vt:variant>
        <vt:i4>5</vt:i4>
      </vt:variant>
      <vt:variant>
        <vt:lpwstr/>
      </vt:variant>
      <vt:variant>
        <vt:lpwstr>_Toc138140674</vt:lpwstr>
      </vt:variant>
      <vt:variant>
        <vt:i4>1179707</vt:i4>
      </vt:variant>
      <vt:variant>
        <vt:i4>158</vt:i4>
      </vt:variant>
      <vt:variant>
        <vt:i4>0</vt:i4>
      </vt:variant>
      <vt:variant>
        <vt:i4>5</vt:i4>
      </vt:variant>
      <vt:variant>
        <vt:lpwstr/>
      </vt:variant>
      <vt:variant>
        <vt:lpwstr>_Toc138140673</vt:lpwstr>
      </vt:variant>
      <vt:variant>
        <vt:i4>1179707</vt:i4>
      </vt:variant>
      <vt:variant>
        <vt:i4>152</vt:i4>
      </vt:variant>
      <vt:variant>
        <vt:i4>0</vt:i4>
      </vt:variant>
      <vt:variant>
        <vt:i4>5</vt:i4>
      </vt:variant>
      <vt:variant>
        <vt:lpwstr/>
      </vt:variant>
      <vt:variant>
        <vt:lpwstr>_Toc138140672</vt:lpwstr>
      </vt:variant>
      <vt:variant>
        <vt:i4>1179707</vt:i4>
      </vt:variant>
      <vt:variant>
        <vt:i4>146</vt:i4>
      </vt:variant>
      <vt:variant>
        <vt:i4>0</vt:i4>
      </vt:variant>
      <vt:variant>
        <vt:i4>5</vt:i4>
      </vt:variant>
      <vt:variant>
        <vt:lpwstr/>
      </vt:variant>
      <vt:variant>
        <vt:lpwstr>_Toc138140671</vt:lpwstr>
      </vt:variant>
      <vt:variant>
        <vt:i4>1179707</vt:i4>
      </vt:variant>
      <vt:variant>
        <vt:i4>140</vt:i4>
      </vt:variant>
      <vt:variant>
        <vt:i4>0</vt:i4>
      </vt:variant>
      <vt:variant>
        <vt:i4>5</vt:i4>
      </vt:variant>
      <vt:variant>
        <vt:lpwstr/>
      </vt:variant>
      <vt:variant>
        <vt:lpwstr>_Toc138140670</vt:lpwstr>
      </vt:variant>
      <vt:variant>
        <vt:i4>1245243</vt:i4>
      </vt:variant>
      <vt:variant>
        <vt:i4>134</vt:i4>
      </vt:variant>
      <vt:variant>
        <vt:i4>0</vt:i4>
      </vt:variant>
      <vt:variant>
        <vt:i4>5</vt:i4>
      </vt:variant>
      <vt:variant>
        <vt:lpwstr/>
      </vt:variant>
      <vt:variant>
        <vt:lpwstr>_Toc138140669</vt:lpwstr>
      </vt:variant>
      <vt:variant>
        <vt:i4>1245243</vt:i4>
      </vt:variant>
      <vt:variant>
        <vt:i4>128</vt:i4>
      </vt:variant>
      <vt:variant>
        <vt:i4>0</vt:i4>
      </vt:variant>
      <vt:variant>
        <vt:i4>5</vt:i4>
      </vt:variant>
      <vt:variant>
        <vt:lpwstr/>
      </vt:variant>
      <vt:variant>
        <vt:lpwstr>_Toc138140668</vt:lpwstr>
      </vt:variant>
      <vt:variant>
        <vt:i4>1245243</vt:i4>
      </vt:variant>
      <vt:variant>
        <vt:i4>122</vt:i4>
      </vt:variant>
      <vt:variant>
        <vt:i4>0</vt:i4>
      </vt:variant>
      <vt:variant>
        <vt:i4>5</vt:i4>
      </vt:variant>
      <vt:variant>
        <vt:lpwstr/>
      </vt:variant>
      <vt:variant>
        <vt:lpwstr>_Toc138140667</vt:lpwstr>
      </vt:variant>
      <vt:variant>
        <vt:i4>1245243</vt:i4>
      </vt:variant>
      <vt:variant>
        <vt:i4>116</vt:i4>
      </vt:variant>
      <vt:variant>
        <vt:i4>0</vt:i4>
      </vt:variant>
      <vt:variant>
        <vt:i4>5</vt:i4>
      </vt:variant>
      <vt:variant>
        <vt:lpwstr/>
      </vt:variant>
      <vt:variant>
        <vt:lpwstr>_Toc138140666</vt:lpwstr>
      </vt:variant>
      <vt:variant>
        <vt:i4>1245243</vt:i4>
      </vt:variant>
      <vt:variant>
        <vt:i4>110</vt:i4>
      </vt:variant>
      <vt:variant>
        <vt:i4>0</vt:i4>
      </vt:variant>
      <vt:variant>
        <vt:i4>5</vt:i4>
      </vt:variant>
      <vt:variant>
        <vt:lpwstr/>
      </vt:variant>
      <vt:variant>
        <vt:lpwstr>_Toc138140665</vt:lpwstr>
      </vt:variant>
      <vt:variant>
        <vt:i4>1245243</vt:i4>
      </vt:variant>
      <vt:variant>
        <vt:i4>104</vt:i4>
      </vt:variant>
      <vt:variant>
        <vt:i4>0</vt:i4>
      </vt:variant>
      <vt:variant>
        <vt:i4>5</vt:i4>
      </vt:variant>
      <vt:variant>
        <vt:lpwstr/>
      </vt:variant>
      <vt:variant>
        <vt:lpwstr>_Toc138140664</vt:lpwstr>
      </vt:variant>
      <vt:variant>
        <vt:i4>1245243</vt:i4>
      </vt:variant>
      <vt:variant>
        <vt:i4>98</vt:i4>
      </vt:variant>
      <vt:variant>
        <vt:i4>0</vt:i4>
      </vt:variant>
      <vt:variant>
        <vt:i4>5</vt:i4>
      </vt:variant>
      <vt:variant>
        <vt:lpwstr/>
      </vt:variant>
      <vt:variant>
        <vt:lpwstr>_Toc138140663</vt:lpwstr>
      </vt:variant>
      <vt:variant>
        <vt:i4>1245243</vt:i4>
      </vt:variant>
      <vt:variant>
        <vt:i4>92</vt:i4>
      </vt:variant>
      <vt:variant>
        <vt:i4>0</vt:i4>
      </vt:variant>
      <vt:variant>
        <vt:i4>5</vt:i4>
      </vt:variant>
      <vt:variant>
        <vt:lpwstr/>
      </vt:variant>
      <vt:variant>
        <vt:lpwstr>_Toc138140662</vt:lpwstr>
      </vt:variant>
      <vt:variant>
        <vt:i4>1245243</vt:i4>
      </vt:variant>
      <vt:variant>
        <vt:i4>86</vt:i4>
      </vt:variant>
      <vt:variant>
        <vt:i4>0</vt:i4>
      </vt:variant>
      <vt:variant>
        <vt:i4>5</vt:i4>
      </vt:variant>
      <vt:variant>
        <vt:lpwstr/>
      </vt:variant>
      <vt:variant>
        <vt:lpwstr>_Toc138140661</vt:lpwstr>
      </vt:variant>
      <vt:variant>
        <vt:i4>1245243</vt:i4>
      </vt:variant>
      <vt:variant>
        <vt:i4>80</vt:i4>
      </vt:variant>
      <vt:variant>
        <vt:i4>0</vt:i4>
      </vt:variant>
      <vt:variant>
        <vt:i4>5</vt:i4>
      </vt:variant>
      <vt:variant>
        <vt:lpwstr/>
      </vt:variant>
      <vt:variant>
        <vt:lpwstr>_Toc138140660</vt:lpwstr>
      </vt:variant>
      <vt:variant>
        <vt:i4>1048635</vt:i4>
      </vt:variant>
      <vt:variant>
        <vt:i4>74</vt:i4>
      </vt:variant>
      <vt:variant>
        <vt:i4>0</vt:i4>
      </vt:variant>
      <vt:variant>
        <vt:i4>5</vt:i4>
      </vt:variant>
      <vt:variant>
        <vt:lpwstr/>
      </vt:variant>
      <vt:variant>
        <vt:lpwstr>_Toc138140659</vt:lpwstr>
      </vt:variant>
      <vt:variant>
        <vt:i4>1048635</vt:i4>
      </vt:variant>
      <vt:variant>
        <vt:i4>68</vt:i4>
      </vt:variant>
      <vt:variant>
        <vt:i4>0</vt:i4>
      </vt:variant>
      <vt:variant>
        <vt:i4>5</vt:i4>
      </vt:variant>
      <vt:variant>
        <vt:lpwstr/>
      </vt:variant>
      <vt:variant>
        <vt:lpwstr>_Toc138140658</vt:lpwstr>
      </vt:variant>
      <vt:variant>
        <vt:i4>1048635</vt:i4>
      </vt:variant>
      <vt:variant>
        <vt:i4>62</vt:i4>
      </vt:variant>
      <vt:variant>
        <vt:i4>0</vt:i4>
      </vt:variant>
      <vt:variant>
        <vt:i4>5</vt:i4>
      </vt:variant>
      <vt:variant>
        <vt:lpwstr/>
      </vt:variant>
      <vt:variant>
        <vt:lpwstr>_Toc138140657</vt:lpwstr>
      </vt:variant>
      <vt:variant>
        <vt:i4>1048635</vt:i4>
      </vt:variant>
      <vt:variant>
        <vt:i4>56</vt:i4>
      </vt:variant>
      <vt:variant>
        <vt:i4>0</vt:i4>
      </vt:variant>
      <vt:variant>
        <vt:i4>5</vt:i4>
      </vt:variant>
      <vt:variant>
        <vt:lpwstr/>
      </vt:variant>
      <vt:variant>
        <vt:lpwstr>_Toc138140656</vt:lpwstr>
      </vt:variant>
      <vt:variant>
        <vt:i4>1048635</vt:i4>
      </vt:variant>
      <vt:variant>
        <vt:i4>50</vt:i4>
      </vt:variant>
      <vt:variant>
        <vt:i4>0</vt:i4>
      </vt:variant>
      <vt:variant>
        <vt:i4>5</vt:i4>
      </vt:variant>
      <vt:variant>
        <vt:lpwstr/>
      </vt:variant>
      <vt:variant>
        <vt:lpwstr>_Toc138140655</vt:lpwstr>
      </vt:variant>
      <vt:variant>
        <vt:i4>1048635</vt:i4>
      </vt:variant>
      <vt:variant>
        <vt:i4>44</vt:i4>
      </vt:variant>
      <vt:variant>
        <vt:i4>0</vt:i4>
      </vt:variant>
      <vt:variant>
        <vt:i4>5</vt:i4>
      </vt:variant>
      <vt:variant>
        <vt:lpwstr/>
      </vt:variant>
      <vt:variant>
        <vt:lpwstr>_Toc138140654</vt:lpwstr>
      </vt:variant>
      <vt:variant>
        <vt:i4>1048635</vt:i4>
      </vt:variant>
      <vt:variant>
        <vt:i4>38</vt:i4>
      </vt:variant>
      <vt:variant>
        <vt:i4>0</vt:i4>
      </vt:variant>
      <vt:variant>
        <vt:i4>5</vt:i4>
      </vt:variant>
      <vt:variant>
        <vt:lpwstr/>
      </vt:variant>
      <vt:variant>
        <vt:lpwstr>_Toc138140653</vt:lpwstr>
      </vt:variant>
      <vt:variant>
        <vt:i4>1048635</vt:i4>
      </vt:variant>
      <vt:variant>
        <vt:i4>32</vt:i4>
      </vt:variant>
      <vt:variant>
        <vt:i4>0</vt:i4>
      </vt:variant>
      <vt:variant>
        <vt:i4>5</vt:i4>
      </vt:variant>
      <vt:variant>
        <vt:lpwstr/>
      </vt:variant>
      <vt:variant>
        <vt:lpwstr>_Toc138140652</vt:lpwstr>
      </vt:variant>
      <vt:variant>
        <vt:i4>1048635</vt:i4>
      </vt:variant>
      <vt:variant>
        <vt:i4>26</vt:i4>
      </vt:variant>
      <vt:variant>
        <vt:i4>0</vt:i4>
      </vt:variant>
      <vt:variant>
        <vt:i4>5</vt:i4>
      </vt:variant>
      <vt:variant>
        <vt:lpwstr/>
      </vt:variant>
      <vt:variant>
        <vt:lpwstr>_Toc138140651</vt:lpwstr>
      </vt:variant>
      <vt:variant>
        <vt:i4>1048635</vt:i4>
      </vt:variant>
      <vt:variant>
        <vt:i4>20</vt:i4>
      </vt:variant>
      <vt:variant>
        <vt:i4>0</vt:i4>
      </vt:variant>
      <vt:variant>
        <vt:i4>5</vt:i4>
      </vt:variant>
      <vt:variant>
        <vt:lpwstr/>
      </vt:variant>
      <vt:variant>
        <vt:lpwstr>_Toc138140650</vt:lpwstr>
      </vt:variant>
      <vt:variant>
        <vt:i4>1114171</vt:i4>
      </vt:variant>
      <vt:variant>
        <vt:i4>14</vt:i4>
      </vt:variant>
      <vt:variant>
        <vt:i4>0</vt:i4>
      </vt:variant>
      <vt:variant>
        <vt:i4>5</vt:i4>
      </vt:variant>
      <vt:variant>
        <vt:lpwstr/>
      </vt:variant>
      <vt:variant>
        <vt:lpwstr>_Toc138140649</vt:lpwstr>
      </vt:variant>
      <vt:variant>
        <vt:i4>1114171</vt:i4>
      </vt:variant>
      <vt:variant>
        <vt:i4>8</vt:i4>
      </vt:variant>
      <vt:variant>
        <vt:i4>0</vt:i4>
      </vt:variant>
      <vt:variant>
        <vt:i4>5</vt:i4>
      </vt:variant>
      <vt:variant>
        <vt:lpwstr/>
      </vt:variant>
      <vt:variant>
        <vt:lpwstr>_Toc138140648</vt:lpwstr>
      </vt:variant>
      <vt:variant>
        <vt:i4>1114171</vt:i4>
      </vt:variant>
      <vt:variant>
        <vt:i4>2</vt:i4>
      </vt:variant>
      <vt:variant>
        <vt:i4>0</vt:i4>
      </vt:variant>
      <vt:variant>
        <vt:i4>5</vt:i4>
      </vt:variant>
      <vt:variant>
        <vt:lpwstr/>
      </vt:variant>
      <vt:variant>
        <vt:lpwstr>_Toc138140647</vt:lpwstr>
      </vt:variant>
      <vt:variant>
        <vt:i4>2883711</vt:i4>
      </vt:variant>
      <vt:variant>
        <vt:i4>12</vt:i4>
      </vt:variant>
      <vt:variant>
        <vt:i4>0</vt:i4>
      </vt:variant>
      <vt:variant>
        <vt:i4>5</vt:i4>
      </vt:variant>
      <vt:variant>
        <vt:lpwstr>https://www.bpifrance.fr/nos-solutions/investissement/investissement-expertise/lac1</vt:lpwstr>
      </vt:variant>
      <vt:variant>
        <vt:lpwstr/>
      </vt:variant>
      <vt:variant>
        <vt:i4>3014714</vt:i4>
      </vt:variant>
      <vt:variant>
        <vt:i4>9</vt:i4>
      </vt:variant>
      <vt:variant>
        <vt:i4>0</vt:i4>
      </vt:variant>
      <vt:variant>
        <vt:i4>5</vt:i4>
      </vt:variant>
      <vt:variant>
        <vt:lpwstr>https://www.bpifrance.fr/download/media-file/77015</vt:lpwstr>
      </vt:variant>
      <vt:variant>
        <vt:lpwstr/>
      </vt:variant>
      <vt:variant>
        <vt:i4>1572868</vt:i4>
      </vt:variant>
      <vt:variant>
        <vt:i4>6</vt:i4>
      </vt:variant>
      <vt:variant>
        <vt:i4>0</vt:i4>
      </vt:variant>
      <vt:variant>
        <vt:i4>5</vt:i4>
      </vt:variant>
      <vt:variant>
        <vt:lpwstr>https://lelab.bpifrance.fr/Etudes/qui-sont-les-dirigeantes-a-la-tete-des-pme-eti-francaises-une-nouvelle-representation-de-l-entrepreneuriat-feminin</vt:lpwstr>
      </vt:variant>
      <vt:variant>
        <vt:lpwstr/>
      </vt:variant>
      <vt:variant>
        <vt:i4>2621502</vt:i4>
      </vt:variant>
      <vt:variant>
        <vt:i4>3</vt:i4>
      </vt:variant>
      <vt:variant>
        <vt:i4>0</vt:i4>
      </vt:variant>
      <vt:variant>
        <vt:i4>5</vt:i4>
      </vt:variant>
      <vt:variant>
        <vt:lpwstr>https://www.bpifrance.fr/download/media-file/42303</vt:lpwstr>
      </vt:variant>
      <vt:variant>
        <vt:lpwstr/>
      </vt:variant>
      <vt:variant>
        <vt:i4>2490426</vt:i4>
      </vt:variant>
      <vt:variant>
        <vt:i4>0</vt:i4>
      </vt:variant>
      <vt:variant>
        <vt:i4>0</vt:i4>
      </vt:variant>
      <vt:variant>
        <vt:i4>5</vt:i4>
      </vt:variant>
      <vt:variant>
        <vt:lpwstr>https://www.bpifrance.fr/download/media-file/41977</vt:lpwstr>
      </vt:variant>
      <vt:variant>
        <vt:lpwstr/>
      </vt:variant>
      <vt:variant>
        <vt:i4>2949212</vt:i4>
      </vt:variant>
      <vt:variant>
        <vt:i4>0</vt:i4>
      </vt:variant>
      <vt:variant>
        <vt:i4>0</vt:i4>
      </vt:variant>
      <vt:variant>
        <vt:i4>5</vt:i4>
      </vt:variant>
      <vt:variant>
        <vt:lpwstr>mailto:as.marin@bpifrance.fr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(cf. propriétés du document)</dc:title>
  <dc:subject>Objet (cf. propriétés du document)</dc:subject>
  <dc:creator>Serena TORRE</dc:creator>
  <cp:keywords/>
  <dc:description>1.0 (cf. propriété Commentaires du document)</dc:description>
  <cp:lastModifiedBy>Christophe MENIGAULT</cp:lastModifiedBy>
  <cp:revision>3</cp:revision>
  <cp:lastPrinted>2003-06-02T04:36:00Z</cp:lastPrinted>
  <dcterms:created xsi:type="dcterms:W3CDTF">2023-06-30T16:37:00Z</dcterms:created>
  <dcterms:modified xsi:type="dcterms:W3CDTF">2023-06-30T16:38:00Z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vision">
    <vt:lpwstr>Division (cf. propriétés avancées du document)</vt:lpwstr>
  </property>
  <property fmtid="{D5CDD505-2E9C-101B-9397-08002B2CF9AE}" pid="3" name="ContentTypeId">
    <vt:lpwstr>0x010100C47524286AF7E0479FDEA70213CDD21C</vt:lpwstr>
  </property>
  <property fmtid="{D5CDD505-2E9C-101B-9397-08002B2CF9AE}" pid="4" name="MSIP_Label_26615553-48f4-466c-a66f-a3bb9a6459c5_Enabled">
    <vt:lpwstr>true</vt:lpwstr>
  </property>
  <property fmtid="{D5CDD505-2E9C-101B-9397-08002B2CF9AE}" pid="5" name="MSIP_Label_26615553-48f4-466c-a66f-a3bb9a6459c5_SetDate">
    <vt:lpwstr>2023-04-26T12:18:56Z</vt:lpwstr>
  </property>
  <property fmtid="{D5CDD505-2E9C-101B-9397-08002B2CF9AE}" pid="6" name="MSIP_Label_26615553-48f4-466c-a66f-a3bb9a6459c5_Method">
    <vt:lpwstr>Standard</vt:lpwstr>
  </property>
  <property fmtid="{D5CDD505-2E9C-101B-9397-08002B2CF9AE}" pid="7" name="MSIP_Label_26615553-48f4-466c-a66f-a3bb9a6459c5_Name">
    <vt:lpwstr>C1 - Interne</vt:lpwstr>
  </property>
  <property fmtid="{D5CDD505-2E9C-101B-9397-08002B2CF9AE}" pid="8" name="MSIP_Label_26615553-48f4-466c-a66f-a3bb9a6459c5_SiteId">
    <vt:lpwstr>1fbeb981-82a8-4cd1-8a51-a83806530676</vt:lpwstr>
  </property>
  <property fmtid="{D5CDD505-2E9C-101B-9397-08002B2CF9AE}" pid="9" name="MSIP_Label_26615553-48f4-466c-a66f-a3bb9a6459c5_ActionId">
    <vt:lpwstr>350d4cbc-ce30-4ec9-a5c7-c1bda8e5ca56</vt:lpwstr>
  </property>
  <property fmtid="{D5CDD505-2E9C-101B-9397-08002B2CF9AE}" pid="10" name="MSIP_Label_26615553-48f4-466c-a66f-a3bb9a6459c5_ContentBits">
    <vt:lpwstr>0</vt:lpwstr>
  </property>
  <property fmtid="{D5CDD505-2E9C-101B-9397-08002B2CF9AE}" pid="11" name="MediaServiceImageTags">
    <vt:lpwstr/>
  </property>
</Properties>
</file>