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867F" w14:textId="77777777" w:rsidR="003059C7" w:rsidRPr="00D303BF" w:rsidRDefault="003059C7" w:rsidP="00DA2171">
      <w:pPr>
        <w:spacing w:after="0"/>
        <w:rPr>
          <w:rFonts w:ascii="Garamond" w:hAnsi="Garamond"/>
        </w:rPr>
      </w:pPr>
    </w:p>
    <w:p w14:paraId="3D56AABA" w14:textId="77777777" w:rsidR="00D303BF" w:rsidRDefault="00D303BF" w:rsidP="00D303BF">
      <w:pPr>
        <w:spacing w:after="0" w:line="240" w:lineRule="auto"/>
        <w:jc w:val="center"/>
        <w:rPr>
          <w:rFonts w:ascii="Garamond" w:hAnsi="Garamond"/>
          <w:sz w:val="48"/>
          <w:szCs w:val="48"/>
        </w:rPr>
      </w:pPr>
    </w:p>
    <w:p w14:paraId="7CCED520" w14:textId="76C34A93" w:rsidR="00D303BF" w:rsidRDefault="00894DD7" w:rsidP="00D303BF">
      <w:pPr>
        <w:spacing w:after="0" w:line="240" w:lineRule="auto"/>
        <w:jc w:val="center"/>
        <w:rPr>
          <w:rFonts w:ascii="Garamond" w:hAnsi="Garamond"/>
          <w:sz w:val="48"/>
          <w:szCs w:val="48"/>
        </w:rPr>
      </w:pPr>
      <w:r>
        <w:rPr>
          <w:rFonts w:ascii="Garamond" w:hAnsi="Garamond"/>
          <w:noProof/>
          <w:sz w:val="48"/>
          <w:szCs w:val="48"/>
        </w:rPr>
        <w:drawing>
          <wp:inline distT="0" distB="0" distL="0" distR="0" wp14:anchorId="3D10DAC5" wp14:editId="5B5E728F">
            <wp:extent cx="3987113" cy="1494289"/>
            <wp:effectExtent l="0" t="0" r="0" b="0"/>
            <wp:docPr id="1"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Graphiqu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6105" cy="1501407"/>
                    </a:xfrm>
                    <a:prstGeom prst="rect">
                      <a:avLst/>
                    </a:prstGeom>
                  </pic:spPr>
                </pic:pic>
              </a:graphicData>
            </a:graphic>
          </wp:inline>
        </w:drawing>
      </w:r>
    </w:p>
    <w:p w14:paraId="25D333DF" w14:textId="77777777" w:rsidR="00D303BF" w:rsidRDefault="00D303BF" w:rsidP="00D303BF">
      <w:pPr>
        <w:spacing w:after="0" w:line="240" w:lineRule="auto"/>
        <w:jc w:val="center"/>
        <w:rPr>
          <w:rFonts w:ascii="Garamond" w:hAnsi="Garamond"/>
          <w:sz w:val="48"/>
          <w:szCs w:val="48"/>
        </w:rPr>
      </w:pPr>
    </w:p>
    <w:p w14:paraId="3279C69B" w14:textId="77777777" w:rsidR="00D303BF" w:rsidRPr="00894DD7" w:rsidRDefault="00D303BF" w:rsidP="00D303BF">
      <w:pPr>
        <w:spacing w:after="0" w:line="240" w:lineRule="auto"/>
        <w:jc w:val="center"/>
        <w:rPr>
          <w:rFonts w:ascii="Garamond" w:hAnsi="Garamond"/>
          <w:sz w:val="36"/>
          <w:szCs w:val="36"/>
        </w:rPr>
      </w:pPr>
    </w:p>
    <w:p w14:paraId="04C504ED" w14:textId="77777777" w:rsidR="00D303BF" w:rsidRPr="00894DD7" w:rsidRDefault="00D303BF" w:rsidP="00D303BF">
      <w:pPr>
        <w:spacing w:after="0" w:line="240" w:lineRule="auto"/>
        <w:jc w:val="center"/>
        <w:rPr>
          <w:rFonts w:ascii="Garamond" w:hAnsi="Garamond"/>
          <w:sz w:val="36"/>
          <w:szCs w:val="36"/>
        </w:rPr>
      </w:pPr>
    </w:p>
    <w:p w14:paraId="155A98B2" w14:textId="77777777" w:rsidR="00D303BF" w:rsidRPr="00894DD7" w:rsidRDefault="00B7744E" w:rsidP="00D303BF">
      <w:pPr>
        <w:spacing w:after="0" w:line="240" w:lineRule="auto"/>
        <w:jc w:val="center"/>
        <w:rPr>
          <w:rFonts w:ascii="Garamond" w:hAnsi="Garamond"/>
          <w:b/>
          <w:bCs/>
          <w:sz w:val="36"/>
          <w:szCs w:val="36"/>
        </w:rPr>
      </w:pPr>
      <w:r w:rsidRPr="00894DD7">
        <w:rPr>
          <w:rFonts w:ascii="Garamond" w:hAnsi="Garamond"/>
          <w:b/>
          <w:bCs/>
          <w:sz w:val="36"/>
          <w:szCs w:val="36"/>
        </w:rPr>
        <w:t>LOI ENERGIE CLIMAT</w:t>
      </w:r>
    </w:p>
    <w:p w14:paraId="4FA098AA" w14:textId="77777777" w:rsidR="00730138" w:rsidRPr="00894DD7" w:rsidRDefault="00730138" w:rsidP="00D303BF">
      <w:pPr>
        <w:spacing w:after="0" w:line="240" w:lineRule="auto"/>
        <w:jc w:val="center"/>
        <w:rPr>
          <w:rFonts w:ascii="Garamond" w:hAnsi="Garamond"/>
          <w:sz w:val="18"/>
          <w:szCs w:val="16"/>
        </w:rPr>
      </w:pPr>
      <w:r w:rsidRPr="00894DD7">
        <w:rPr>
          <w:rFonts w:ascii="Garamond" w:hAnsi="Garamond"/>
          <w:sz w:val="18"/>
          <w:szCs w:val="16"/>
        </w:rPr>
        <w:t>Loi n°2019-1147 du 8 novembre 2019</w:t>
      </w:r>
    </w:p>
    <w:p w14:paraId="5F0D8DD8" w14:textId="77777777" w:rsidR="00730138" w:rsidRPr="00894DD7" w:rsidRDefault="00730138" w:rsidP="00D303BF">
      <w:pPr>
        <w:spacing w:after="0" w:line="240" w:lineRule="auto"/>
        <w:jc w:val="center"/>
        <w:rPr>
          <w:rFonts w:ascii="Garamond" w:hAnsi="Garamond"/>
          <w:sz w:val="18"/>
          <w:szCs w:val="16"/>
        </w:rPr>
      </w:pPr>
      <w:r w:rsidRPr="00894DD7">
        <w:rPr>
          <w:rFonts w:ascii="Garamond" w:hAnsi="Garamond"/>
          <w:sz w:val="18"/>
          <w:szCs w:val="16"/>
        </w:rPr>
        <w:t>Décret n°2021-663 du 27 mai 2021</w:t>
      </w:r>
    </w:p>
    <w:p w14:paraId="26077A60" w14:textId="77777777" w:rsidR="00730138" w:rsidRPr="00894DD7" w:rsidRDefault="00730138" w:rsidP="00D303BF">
      <w:pPr>
        <w:spacing w:after="0" w:line="240" w:lineRule="auto"/>
        <w:jc w:val="center"/>
        <w:rPr>
          <w:rFonts w:ascii="Garamond" w:hAnsi="Garamond"/>
          <w:b/>
          <w:bCs/>
          <w:sz w:val="36"/>
          <w:szCs w:val="36"/>
        </w:rPr>
      </w:pPr>
    </w:p>
    <w:p w14:paraId="07EE85BA" w14:textId="77777777" w:rsidR="00730138" w:rsidRPr="00894DD7" w:rsidRDefault="00730138" w:rsidP="00D303BF">
      <w:pPr>
        <w:spacing w:after="0" w:line="240" w:lineRule="auto"/>
        <w:jc w:val="center"/>
        <w:rPr>
          <w:rFonts w:ascii="Garamond" w:hAnsi="Garamond"/>
          <w:b/>
          <w:bCs/>
          <w:sz w:val="36"/>
          <w:szCs w:val="36"/>
        </w:rPr>
      </w:pPr>
    </w:p>
    <w:p w14:paraId="066464D9" w14:textId="4CBCC006" w:rsidR="00730138" w:rsidRPr="00894DD7" w:rsidRDefault="00730138" w:rsidP="00C072FB">
      <w:pPr>
        <w:spacing w:after="0" w:line="240" w:lineRule="auto"/>
        <w:jc w:val="center"/>
        <w:rPr>
          <w:rFonts w:ascii="Garamond" w:hAnsi="Garamond"/>
          <w:b/>
          <w:bCs/>
          <w:sz w:val="36"/>
          <w:szCs w:val="36"/>
        </w:rPr>
      </w:pPr>
      <w:r w:rsidRPr="00894DD7">
        <w:rPr>
          <w:rFonts w:ascii="Garamond" w:hAnsi="Garamond"/>
          <w:b/>
          <w:bCs/>
          <w:sz w:val="36"/>
          <w:szCs w:val="36"/>
        </w:rPr>
        <w:t>ARTICLE 29</w:t>
      </w:r>
      <w:r w:rsidR="00C072FB">
        <w:rPr>
          <w:rFonts w:ascii="Garamond" w:hAnsi="Garamond"/>
          <w:b/>
          <w:bCs/>
          <w:sz w:val="36"/>
          <w:szCs w:val="36"/>
        </w:rPr>
        <w:t xml:space="preserve"> </w:t>
      </w:r>
      <w:r w:rsidRPr="00894DD7">
        <w:rPr>
          <w:rFonts w:ascii="Garamond" w:hAnsi="Garamond"/>
          <w:b/>
          <w:bCs/>
          <w:sz w:val="36"/>
          <w:szCs w:val="36"/>
        </w:rPr>
        <w:t>AU TITRE DE 202</w:t>
      </w:r>
      <w:r w:rsidR="00C072FB">
        <w:rPr>
          <w:rFonts w:ascii="Garamond" w:hAnsi="Garamond"/>
          <w:b/>
          <w:bCs/>
          <w:sz w:val="36"/>
          <w:szCs w:val="36"/>
        </w:rPr>
        <w:t>2</w:t>
      </w:r>
    </w:p>
    <w:p w14:paraId="52EF57F4" w14:textId="77777777" w:rsidR="00C072FB" w:rsidRDefault="00C072FB" w:rsidP="00D303BF">
      <w:pPr>
        <w:spacing w:after="0" w:line="240" w:lineRule="auto"/>
        <w:jc w:val="center"/>
        <w:rPr>
          <w:rFonts w:ascii="Garamond" w:hAnsi="Garamond"/>
          <w:b/>
          <w:bCs/>
          <w:sz w:val="36"/>
          <w:szCs w:val="36"/>
        </w:rPr>
      </w:pPr>
    </w:p>
    <w:p w14:paraId="0E0607F3" w14:textId="77777777" w:rsidR="00C072FB" w:rsidRDefault="00C072FB" w:rsidP="00D303BF">
      <w:pPr>
        <w:spacing w:after="0" w:line="240" w:lineRule="auto"/>
        <w:jc w:val="center"/>
        <w:rPr>
          <w:rFonts w:ascii="Garamond" w:hAnsi="Garamond"/>
          <w:b/>
          <w:bCs/>
          <w:sz w:val="36"/>
          <w:szCs w:val="36"/>
        </w:rPr>
      </w:pPr>
    </w:p>
    <w:p w14:paraId="0D6C9596" w14:textId="430E1345" w:rsidR="00730138" w:rsidRPr="00894DD7" w:rsidRDefault="00894DD7" w:rsidP="00D303BF">
      <w:pPr>
        <w:spacing w:after="0" w:line="240" w:lineRule="auto"/>
        <w:jc w:val="center"/>
        <w:rPr>
          <w:rFonts w:ascii="Garamond" w:hAnsi="Garamond"/>
          <w:b/>
          <w:bCs/>
          <w:sz w:val="36"/>
          <w:szCs w:val="36"/>
        </w:rPr>
      </w:pPr>
      <w:r w:rsidRPr="00894DD7">
        <w:rPr>
          <w:rFonts w:ascii="Garamond" w:hAnsi="Garamond"/>
          <w:b/>
          <w:bCs/>
          <w:sz w:val="36"/>
          <w:szCs w:val="36"/>
        </w:rPr>
        <w:t>INOVALIS S.A.</w:t>
      </w:r>
    </w:p>
    <w:p w14:paraId="3BB23CE0" w14:textId="77777777" w:rsidR="00D303BF" w:rsidRPr="00894DD7" w:rsidRDefault="00D303BF" w:rsidP="00D303BF">
      <w:pPr>
        <w:spacing w:after="0" w:line="240" w:lineRule="auto"/>
        <w:jc w:val="center"/>
        <w:rPr>
          <w:rFonts w:ascii="Garamond" w:hAnsi="Garamond"/>
          <w:b/>
          <w:bCs/>
          <w:sz w:val="36"/>
          <w:szCs w:val="36"/>
        </w:rPr>
      </w:pPr>
    </w:p>
    <w:p w14:paraId="3FD6205C" w14:textId="77777777" w:rsidR="00B7744E" w:rsidRPr="00894DD7" w:rsidRDefault="00B7744E" w:rsidP="00D303BF">
      <w:pPr>
        <w:spacing w:after="0" w:line="240" w:lineRule="auto"/>
        <w:jc w:val="center"/>
        <w:rPr>
          <w:rFonts w:ascii="Garamond" w:hAnsi="Garamond"/>
          <w:b/>
          <w:bCs/>
          <w:sz w:val="36"/>
          <w:szCs w:val="36"/>
        </w:rPr>
      </w:pPr>
    </w:p>
    <w:p w14:paraId="14A4521A" w14:textId="77777777" w:rsidR="00B7744E" w:rsidRPr="00894DD7" w:rsidRDefault="00B7744E" w:rsidP="00D303BF">
      <w:pPr>
        <w:spacing w:after="0" w:line="240" w:lineRule="auto"/>
        <w:jc w:val="center"/>
        <w:rPr>
          <w:rFonts w:ascii="Garamond" w:hAnsi="Garamond"/>
          <w:b/>
          <w:bCs/>
          <w:sz w:val="36"/>
          <w:szCs w:val="36"/>
        </w:rPr>
      </w:pPr>
    </w:p>
    <w:p w14:paraId="7EEE5967" w14:textId="77777777" w:rsidR="00B7744E" w:rsidRPr="00894DD7" w:rsidRDefault="00B7744E" w:rsidP="00D303BF">
      <w:pPr>
        <w:spacing w:after="0" w:line="240" w:lineRule="auto"/>
        <w:jc w:val="center"/>
        <w:rPr>
          <w:rFonts w:ascii="Garamond" w:hAnsi="Garamond"/>
          <w:b/>
          <w:bCs/>
          <w:sz w:val="36"/>
          <w:szCs w:val="36"/>
        </w:rPr>
      </w:pPr>
    </w:p>
    <w:p w14:paraId="18E8B9D5" w14:textId="77777777" w:rsidR="00B7744E" w:rsidRPr="00894DD7" w:rsidRDefault="00B7744E" w:rsidP="00D303BF">
      <w:pPr>
        <w:spacing w:after="0" w:line="240" w:lineRule="auto"/>
        <w:jc w:val="center"/>
        <w:rPr>
          <w:rFonts w:ascii="Garamond" w:hAnsi="Garamond"/>
          <w:b/>
          <w:bCs/>
          <w:sz w:val="36"/>
          <w:szCs w:val="36"/>
        </w:rPr>
      </w:pPr>
    </w:p>
    <w:p w14:paraId="332DEC22" w14:textId="75C57F51" w:rsidR="00B7744E" w:rsidRPr="00894DD7" w:rsidRDefault="007A6A6C" w:rsidP="00D303BF">
      <w:pPr>
        <w:spacing w:after="0" w:line="240" w:lineRule="auto"/>
        <w:jc w:val="center"/>
        <w:rPr>
          <w:rFonts w:ascii="Garamond" w:hAnsi="Garamond"/>
          <w:b/>
          <w:bCs/>
          <w:sz w:val="36"/>
          <w:szCs w:val="36"/>
        </w:rPr>
      </w:pPr>
      <w:r w:rsidRPr="00894DD7">
        <w:rPr>
          <w:rFonts w:ascii="Garamond" w:hAnsi="Garamond"/>
          <w:b/>
          <w:bCs/>
          <w:sz w:val="36"/>
          <w:szCs w:val="36"/>
        </w:rPr>
        <w:t>JUIN 202</w:t>
      </w:r>
      <w:r w:rsidR="00C072FB">
        <w:rPr>
          <w:rFonts w:ascii="Garamond" w:hAnsi="Garamond"/>
          <w:b/>
          <w:bCs/>
          <w:sz w:val="36"/>
          <w:szCs w:val="36"/>
        </w:rPr>
        <w:t>3</w:t>
      </w:r>
    </w:p>
    <w:p w14:paraId="03C8A055" w14:textId="77777777" w:rsidR="00D303BF" w:rsidRPr="00D303BF" w:rsidRDefault="00D303BF" w:rsidP="00D303BF">
      <w:pPr>
        <w:jc w:val="center"/>
        <w:rPr>
          <w:rFonts w:ascii="Garamond" w:hAnsi="Garamond"/>
          <w:b/>
          <w:bCs/>
          <w:sz w:val="48"/>
          <w:szCs w:val="48"/>
        </w:rPr>
      </w:pPr>
      <w:r w:rsidRPr="00D303BF">
        <w:rPr>
          <w:rFonts w:ascii="Garamond" w:hAnsi="Garamond"/>
          <w:b/>
          <w:bCs/>
          <w:sz w:val="48"/>
          <w:szCs w:val="48"/>
        </w:rPr>
        <w:br w:type="page"/>
      </w:r>
    </w:p>
    <w:sdt>
      <w:sdtPr>
        <w:rPr>
          <w:rFonts w:asciiTheme="minorHAnsi" w:eastAsiaTheme="minorHAnsi" w:hAnsiTheme="minorHAnsi" w:cstheme="minorBidi"/>
          <w:b w:val="0"/>
          <w:caps w:val="0"/>
          <w:color w:val="auto"/>
          <w:sz w:val="22"/>
          <w:szCs w:val="22"/>
          <w:lang w:eastAsia="en-US"/>
        </w:rPr>
        <w:id w:val="-766000357"/>
        <w:docPartObj>
          <w:docPartGallery w:val="Table of Contents"/>
          <w:docPartUnique/>
        </w:docPartObj>
      </w:sdtPr>
      <w:sdtEndPr>
        <w:rPr>
          <w:bCs/>
          <w:sz w:val="24"/>
        </w:rPr>
      </w:sdtEndPr>
      <w:sdtContent>
        <w:p w14:paraId="42BB9766" w14:textId="77777777" w:rsidR="00D303BF" w:rsidRPr="00D303BF" w:rsidRDefault="00D303BF" w:rsidP="00D303BF">
          <w:pPr>
            <w:pStyle w:val="En-ttedetabledesmatires"/>
          </w:pPr>
          <w:r w:rsidRPr="00D303BF">
            <w:t>Table des matières</w:t>
          </w:r>
        </w:p>
        <w:p w14:paraId="31ABF893" w14:textId="77777777" w:rsidR="00D303BF" w:rsidRPr="00D303BF" w:rsidRDefault="00D303BF" w:rsidP="00D303BF">
          <w:pPr>
            <w:rPr>
              <w:rFonts w:ascii="Garamond" w:hAnsi="Garamond"/>
              <w:lang w:eastAsia="fr-FR"/>
            </w:rPr>
          </w:pPr>
        </w:p>
        <w:p w14:paraId="101DB9D4" w14:textId="2CD6B453" w:rsidR="00061118" w:rsidRDefault="00D303BF">
          <w:pPr>
            <w:pStyle w:val="TM1"/>
            <w:tabs>
              <w:tab w:val="left" w:pos="440"/>
            </w:tabs>
            <w:rPr>
              <w:rFonts w:eastAsiaTheme="minorEastAsia"/>
              <w:b w:val="0"/>
              <w:bCs w:val="0"/>
              <w:sz w:val="22"/>
              <w:lang w:eastAsia="fr-FR"/>
            </w:rPr>
          </w:pPr>
          <w:r w:rsidRPr="00D303BF">
            <w:rPr>
              <w:rFonts w:ascii="Garamond" w:hAnsi="Garamond"/>
            </w:rPr>
            <w:fldChar w:fldCharType="begin"/>
          </w:r>
          <w:r w:rsidRPr="00D303BF">
            <w:rPr>
              <w:rFonts w:ascii="Garamond" w:hAnsi="Garamond"/>
            </w:rPr>
            <w:instrText xml:space="preserve"> TOC \o "1-3" \h \z \u </w:instrText>
          </w:r>
          <w:r w:rsidRPr="00D303BF">
            <w:rPr>
              <w:rFonts w:ascii="Garamond" w:hAnsi="Garamond"/>
            </w:rPr>
            <w:fldChar w:fldCharType="separate"/>
          </w:r>
          <w:hyperlink w:anchor="_Toc139619595" w:history="1">
            <w:r w:rsidR="00061118" w:rsidRPr="00A25F05">
              <w:rPr>
                <w:rStyle w:val="Lienhypertexte"/>
              </w:rPr>
              <w:t>1.</w:t>
            </w:r>
            <w:r w:rsidR="00061118">
              <w:rPr>
                <w:rFonts w:eastAsiaTheme="minorEastAsia"/>
                <w:b w:val="0"/>
                <w:bCs w:val="0"/>
                <w:sz w:val="22"/>
                <w:lang w:eastAsia="fr-FR"/>
              </w:rPr>
              <w:tab/>
            </w:r>
            <w:r w:rsidR="00061118" w:rsidRPr="00A25F05">
              <w:rPr>
                <w:rStyle w:val="Lienhypertexte"/>
              </w:rPr>
              <w:t>Démarche générale de l’entité sur la prise en compte des critères environnementaux, sociaux et de qualité de gouvernance</w:t>
            </w:r>
            <w:r w:rsidR="00061118">
              <w:rPr>
                <w:webHidden/>
              </w:rPr>
              <w:tab/>
            </w:r>
            <w:r w:rsidR="00061118">
              <w:rPr>
                <w:webHidden/>
              </w:rPr>
              <w:fldChar w:fldCharType="begin"/>
            </w:r>
            <w:r w:rsidR="00061118">
              <w:rPr>
                <w:webHidden/>
              </w:rPr>
              <w:instrText xml:space="preserve"> PAGEREF _Toc139619595 \h </w:instrText>
            </w:r>
            <w:r w:rsidR="00061118">
              <w:rPr>
                <w:webHidden/>
              </w:rPr>
            </w:r>
            <w:r w:rsidR="00061118">
              <w:rPr>
                <w:webHidden/>
              </w:rPr>
              <w:fldChar w:fldCharType="separate"/>
            </w:r>
            <w:r w:rsidR="00061118">
              <w:rPr>
                <w:webHidden/>
              </w:rPr>
              <w:t>3</w:t>
            </w:r>
            <w:r w:rsidR="00061118">
              <w:rPr>
                <w:webHidden/>
              </w:rPr>
              <w:fldChar w:fldCharType="end"/>
            </w:r>
          </w:hyperlink>
        </w:p>
        <w:p w14:paraId="5F6EA818" w14:textId="20A6271F" w:rsidR="00061118" w:rsidRDefault="00061118">
          <w:pPr>
            <w:pStyle w:val="TM2"/>
            <w:tabs>
              <w:tab w:val="right" w:leader="dot" w:pos="9062"/>
            </w:tabs>
            <w:rPr>
              <w:rFonts w:eastAsiaTheme="minorEastAsia"/>
              <w:noProof/>
              <w:sz w:val="22"/>
              <w:lang w:eastAsia="fr-FR"/>
            </w:rPr>
          </w:pPr>
          <w:hyperlink w:anchor="_Toc139619596" w:history="1">
            <w:r w:rsidRPr="00A25F05">
              <w:rPr>
                <w:rStyle w:val="Lienhypertexte"/>
                <w:noProof/>
              </w:rPr>
              <w:t>1.1 - Présentation de la démarche générale dans la prise en compte de critères ESG</w:t>
            </w:r>
            <w:r>
              <w:rPr>
                <w:noProof/>
                <w:webHidden/>
              </w:rPr>
              <w:tab/>
            </w:r>
            <w:r>
              <w:rPr>
                <w:noProof/>
                <w:webHidden/>
              </w:rPr>
              <w:fldChar w:fldCharType="begin"/>
            </w:r>
            <w:r>
              <w:rPr>
                <w:noProof/>
                <w:webHidden/>
              </w:rPr>
              <w:instrText xml:space="preserve"> PAGEREF _Toc139619596 \h </w:instrText>
            </w:r>
            <w:r>
              <w:rPr>
                <w:noProof/>
                <w:webHidden/>
              </w:rPr>
            </w:r>
            <w:r>
              <w:rPr>
                <w:noProof/>
                <w:webHidden/>
              </w:rPr>
              <w:fldChar w:fldCharType="separate"/>
            </w:r>
            <w:r>
              <w:rPr>
                <w:noProof/>
                <w:webHidden/>
              </w:rPr>
              <w:t>3</w:t>
            </w:r>
            <w:r>
              <w:rPr>
                <w:noProof/>
                <w:webHidden/>
              </w:rPr>
              <w:fldChar w:fldCharType="end"/>
            </w:r>
          </w:hyperlink>
        </w:p>
        <w:p w14:paraId="333395C2" w14:textId="55BE9DF6" w:rsidR="00061118" w:rsidRDefault="00061118">
          <w:pPr>
            <w:pStyle w:val="TM2"/>
            <w:tabs>
              <w:tab w:val="right" w:leader="dot" w:pos="9062"/>
            </w:tabs>
            <w:rPr>
              <w:rFonts w:eastAsiaTheme="minorEastAsia"/>
              <w:noProof/>
              <w:sz w:val="22"/>
              <w:lang w:eastAsia="fr-FR"/>
            </w:rPr>
          </w:pPr>
          <w:hyperlink w:anchor="_Toc139619597" w:history="1">
            <w:r w:rsidRPr="00A25F05">
              <w:rPr>
                <w:rStyle w:val="Lienhypertexte"/>
                <w:noProof/>
              </w:rPr>
              <w:t>1.3 - Reportings extra-financiers à l’attention de la clientèle des fonds gérés par INOVALIS S.A.</w:t>
            </w:r>
            <w:r>
              <w:rPr>
                <w:noProof/>
                <w:webHidden/>
              </w:rPr>
              <w:tab/>
            </w:r>
            <w:r>
              <w:rPr>
                <w:noProof/>
                <w:webHidden/>
              </w:rPr>
              <w:fldChar w:fldCharType="begin"/>
            </w:r>
            <w:r>
              <w:rPr>
                <w:noProof/>
                <w:webHidden/>
              </w:rPr>
              <w:instrText xml:space="preserve"> PAGEREF _Toc139619597 \h </w:instrText>
            </w:r>
            <w:r>
              <w:rPr>
                <w:noProof/>
                <w:webHidden/>
              </w:rPr>
            </w:r>
            <w:r>
              <w:rPr>
                <w:noProof/>
                <w:webHidden/>
              </w:rPr>
              <w:fldChar w:fldCharType="separate"/>
            </w:r>
            <w:r>
              <w:rPr>
                <w:noProof/>
                <w:webHidden/>
              </w:rPr>
              <w:t>4</w:t>
            </w:r>
            <w:r>
              <w:rPr>
                <w:noProof/>
                <w:webHidden/>
              </w:rPr>
              <w:fldChar w:fldCharType="end"/>
            </w:r>
          </w:hyperlink>
        </w:p>
        <w:p w14:paraId="5D0502AD" w14:textId="2361B715" w:rsidR="00061118" w:rsidRDefault="00061118">
          <w:pPr>
            <w:pStyle w:val="TM1"/>
            <w:tabs>
              <w:tab w:val="left" w:pos="440"/>
            </w:tabs>
            <w:rPr>
              <w:rFonts w:eastAsiaTheme="minorEastAsia"/>
              <w:b w:val="0"/>
              <w:bCs w:val="0"/>
              <w:sz w:val="22"/>
              <w:lang w:eastAsia="fr-FR"/>
            </w:rPr>
          </w:pPr>
          <w:hyperlink w:anchor="_Toc139619598" w:history="1">
            <w:r w:rsidRPr="00A25F05">
              <w:rPr>
                <w:rStyle w:val="Lienhypertexte"/>
              </w:rPr>
              <w:t>2.</w:t>
            </w:r>
            <w:r>
              <w:rPr>
                <w:rFonts w:eastAsiaTheme="minorEastAsia"/>
                <w:b w:val="0"/>
                <w:bCs w:val="0"/>
                <w:sz w:val="22"/>
                <w:lang w:eastAsia="fr-FR"/>
              </w:rPr>
              <w:tab/>
            </w:r>
            <w:r w:rsidRPr="00A25F05">
              <w:rPr>
                <w:rStyle w:val="Lienhypertexte"/>
              </w:rPr>
              <w:t>Moyens internes déployés par l’entité</w:t>
            </w:r>
            <w:r>
              <w:rPr>
                <w:webHidden/>
              </w:rPr>
              <w:tab/>
            </w:r>
            <w:r>
              <w:rPr>
                <w:webHidden/>
              </w:rPr>
              <w:fldChar w:fldCharType="begin"/>
            </w:r>
            <w:r>
              <w:rPr>
                <w:webHidden/>
              </w:rPr>
              <w:instrText xml:space="preserve"> PAGEREF _Toc139619598 \h </w:instrText>
            </w:r>
            <w:r>
              <w:rPr>
                <w:webHidden/>
              </w:rPr>
            </w:r>
            <w:r>
              <w:rPr>
                <w:webHidden/>
              </w:rPr>
              <w:fldChar w:fldCharType="separate"/>
            </w:r>
            <w:r>
              <w:rPr>
                <w:webHidden/>
              </w:rPr>
              <w:t>4</w:t>
            </w:r>
            <w:r>
              <w:rPr>
                <w:webHidden/>
              </w:rPr>
              <w:fldChar w:fldCharType="end"/>
            </w:r>
          </w:hyperlink>
        </w:p>
        <w:p w14:paraId="24448077" w14:textId="104175F6" w:rsidR="00061118" w:rsidRDefault="00061118">
          <w:pPr>
            <w:pStyle w:val="TM2"/>
            <w:tabs>
              <w:tab w:val="right" w:leader="dot" w:pos="9062"/>
            </w:tabs>
            <w:rPr>
              <w:rFonts w:eastAsiaTheme="minorEastAsia"/>
              <w:noProof/>
              <w:sz w:val="22"/>
              <w:lang w:eastAsia="fr-FR"/>
            </w:rPr>
          </w:pPr>
          <w:hyperlink w:anchor="_Toc139619599" w:history="1">
            <w:r w:rsidRPr="00A25F05">
              <w:rPr>
                <w:rStyle w:val="Lienhypertexte"/>
                <w:noProof/>
              </w:rPr>
              <w:t>2.1 - Description des ressources financières, humaines et techniques dédiées à l’ESG au sein d’INOVALIS S.A.</w:t>
            </w:r>
            <w:r>
              <w:rPr>
                <w:noProof/>
                <w:webHidden/>
              </w:rPr>
              <w:tab/>
            </w:r>
            <w:r>
              <w:rPr>
                <w:noProof/>
                <w:webHidden/>
              </w:rPr>
              <w:fldChar w:fldCharType="begin"/>
            </w:r>
            <w:r>
              <w:rPr>
                <w:noProof/>
                <w:webHidden/>
              </w:rPr>
              <w:instrText xml:space="preserve"> PAGEREF _Toc139619599 \h </w:instrText>
            </w:r>
            <w:r>
              <w:rPr>
                <w:noProof/>
                <w:webHidden/>
              </w:rPr>
            </w:r>
            <w:r>
              <w:rPr>
                <w:noProof/>
                <w:webHidden/>
              </w:rPr>
              <w:fldChar w:fldCharType="separate"/>
            </w:r>
            <w:r>
              <w:rPr>
                <w:noProof/>
                <w:webHidden/>
              </w:rPr>
              <w:t>4</w:t>
            </w:r>
            <w:r>
              <w:rPr>
                <w:noProof/>
                <w:webHidden/>
              </w:rPr>
              <w:fldChar w:fldCharType="end"/>
            </w:r>
          </w:hyperlink>
        </w:p>
        <w:p w14:paraId="730111FF" w14:textId="5C7CDC3B" w:rsidR="00061118" w:rsidRDefault="00061118">
          <w:pPr>
            <w:pStyle w:val="TM2"/>
            <w:tabs>
              <w:tab w:val="right" w:leader="dot" w:pos="9062"/>
            </w:tabs>
            <w:rPr>
              <w:rFonts w:eastAsiaTheme="minorEastAsia"/>
              <w:noProof/>
              <w:sz w:val="22"/>
              <w:lang w:eastAsia="fr-FR"/>
            </w:rPr>
          </w:pPr>
          <w:hyperlink w:anchor="_Toc139619600" w:history="1">
            <w:r w:rsidRPr="00A25F05">
              <w:rPr>
                <w:rStyle w:val="Lienhypertexte"/>
                <w:noProof/>
              </w:rPr>
              <w:t>2.2 - Actions menées en vue d’un renforcement des capacités internes de INOVALIS S.A.</w:t>
            </w:r>
            <w:r>
              <w:rPr>
                <w:noProof/>
                <w:webHidden/>
              </w:rPr>
              <w:tab/>
            </w:r>
            <w:r>
              <w:rPr>
                <w:noProof/>
                <w:webHidden/>
              </w:rPr>
              <w:fldChar w:fldCharType="begin"/>
            </w:r>
            <w:r>
              <w:rPr>
                <w:noProof/>
                <w:webHidden/>
              </w:rPr>
              <w:instrText xml:space="preserve"> PAGEREF _Toc139619600 \h </w:instrText>
            </w:r>
            <w:r>
              <w:rPr>
                <w:noProof/>
                <w:webHidden/>
              </w:rPr>
            </w:r>
            <w:r>
              <w:rPr>
                <w:noProof/>
                <w:webHidden/>
              </w:rPr>
              <w:fldChar w:fldCharType="separate"/>
            </w:r>
            <w:r>
              <w:rPr>
                <w:noProof/>
                <w:webHidden/>
              </w:rPr>
              <w:t>5</w:t>
            </w:r>
            <w:r>
              <w:rPr>
                <w:noProof/>
                <w:webHidden/>
              </w:rPr>
              <w:fldChar w:fldCharType="end"/>
            </w:r>
          </w:hyperlink>
        </w:p>
        <w:p w14:paraId="0B1C4965" w14:textId="26A9934D" w:rsidR="00061118" w:rsidRDefault="00061118">
          <w:pPr>
            <w:pStyle w:val="TM1"/>
            <w:tabs>
              <w:tab w:val="left" w:pos="440"/>
            </w:tabs>
            <w:rPr>
              <w:rFonts w:eastAsiaTheme="minorEastAsia"/>
              <w:b w:val="0"/>
              <w:bCs w:val="0"/>
              <w:sz w:val="22"/>
              <w:lang w:eastAsia="fr-FR"/>
            </w:rPr>
          </w:pPr>
          <w:hyperlink w:anchor="_Toc139619601" w:history="1">
            <w:r w:rsidRPr="00A25F05">
              <w:rPr>
                <w:rStyle w:val="Lienhypertexte"/>
              </w:rPr>
              <w:t>3.</w:t>
            </w:r>
            <w:r>
              <w:rPr>
                <w:rFonts w:eastAsiaTheme="minorEastAsia"/>
                <w:b w:val="0"/>
                <w:bCs w:val="0"/>
                <w:sz w:val="22"/>
                <w:lang w:eastAsia="fr-FR"/>
              </w:rPr>
              <w:tab/>
            </w:r>
            <w:r w:rsidRPr="00A25F05">
              <w:rPr>
                <w:rStyle w:val="Lienhypertexte"/>
              </w:rPr>
              <w:t>Démarche de prise en compte des critères environnementaux, sociaux et de qualité de gouvernance au niveau de la gouvernance de l'entité</w:t>
            </w:r>
            <w:r>
              <w:rPr>
                <w:webHidden/>
              </w:rPr>
              <w:tab/>
            </w:r>
            <w:r>
              <w:rPr>
                <w:webHidden/>
              </w:rPr>
              <w:fldChar w:fldCharType="begin"/>
            </w:r>
            <w:r>
              <w:rPr>
                <w:webHidden/>
              </w:rPr>
              <w:instrText xml:space="preserve"> PAGEREF _Toc139619601 \h </w:instrText>
            </w:r>
            <w:r>
              <w:rPr>
                <w:webHidden/>
              </w:rPr>
            </w:r>
            <w:r>
              <w:rPr>
                <w:webHidden/>
              </w:rPr>
              <w:fldChar w:fldCharType="separate"/>
            </w:r>
            <w:r>
              <w:rPr>
                <w:webHidden/>
              </w:rPr>
              <w:t>5</w:t>
            </w:r>
            <w:r>
              <w:rPr>
                <w:webHidden/>
              </w:rPr>
              <w:fldChar w:fldCharType="end"/>
            </w:r>
          </w:hyperlink>
        </w:p>
        <w:p w14:paraId="57384E94" w14:textId="698E5981" w:rsidR="00061118" w:rsidRDefault="00061118">
          <w:pPr>
            <w:pStyle w:val="TM2"/>
            <w:tabs>
              <w:tab w:val="right" w:leader="dot" w:pos="9062"/>
            </w:tabs>
            <w:rPr>
              <w:rFonts w:eastAsiaTheme="minorEastAsia"/>
              <w:noProof/>
              <w:sz w:val="22"/>
              <w:lang w:eastAsia="fr-FR"/>
            </w:rPr>
          </w:pPr>
          <w:hyperlink w:anchor="_Toc139619602" w:history="1">
            <w:r w:rsidRPr="00A25F05">
              <w:rPr>
                <w:rStyle w:val="Lienhypertexte"/>
                <w:noProof/>
              </w:rPr>
              <w:t>3.1 - Connaissances, compétences et expérience des instances de gouvernance</w:t>
            </w:r>
            <w:r>
              <w:rPr>
                <w:noProof/>
                <w:webHidden/>
              </w:rPr>
              <w:tab/>
            </w:r>
            <w:r>
              <w:rPr>
                <w:noProof/>
                <w:webHidden/>
              </w:rPr>
              <w:fldChar w:fldCharType="begin"/>
            </w:r>
            <w:r>
              <w:rPr>
                <w:noProof/>
                <w:webHidden/>
              </w:rPr>
              <w:instrText xml:space="preserve"> PAGEREF _Toc139619602 \h </w:instrText>
            </w:r>
            <w:r>
              <w:rPr>
                <w:noProof/>
                <w:webHidden/>
              </w:rPr>
            </w:r>
            <w:r>
              <w:rPr>
                <w:noProof/>
                <w:webHidden/>
              </w:rPr>
              <w:fldChar w:fldCharType="separate"/>
            </w:r>
            <w:r>
              <w:rPr>
                <w:noProof/>
                <w:webHidden/>
              </w:rPr>
              <w:t>5</w:t>
            </w:r>
            <w:r>
              <w:rPr>
                <w:noProof/>
                <w:webHidden/>
              </w:rPr>
              <w:fldChar w:fldCharType="end"/>
            </w:r>
          </w:hyperlink>
        </w:p>
        <w:p w14:paraId="262B6806" w14:textId="6645D337" w:rsidR="00061118" w:rsidRDefault="00061118">
          <w:pPr>
            <w:pStyle w:val="TM2"/>
            <w:tabs>
              <w:tab w:val="right" w:leader="dot" w:pos="9062"/>
            </w:tabs>
            <w:rPr>
              <w:rFonts w:eastAsiaTheme="minorEastAsia"/>
              <w:noProof/>
              <w:sz w:val="22"/>
              <w:lang w:eastAsia="fr-FR"/>
            </w:rPr>
          </w:pPr>
          <w:hyperlink w:anchor="_Toc139619603" w:history="1">
            <w:r w:rsidRPr="00A25F05">
              <w:rPr>
                <w:rStyle w:val="Lienhypertexte"/>
                <w:noProof/>
              </w:rPr>
              <w:t>3.2 - Politique de rémunération</w:t>
            </w:r>
            <w:r>
              <w:rPr>
                <w:noProof/>
                <w:webHidden/>
              </w:rPr>
              <w:tab/>
            </w:r>
            <w:r>
              <w:rPr>
                <w:noProof/>
                <w:webHidden/>
              </w:rPr>
              <w:fldChar w:fldCharType="begin"/>
            </w:r>
            <w:r>
              <w:rPr>
                <w:noProof/>
                <w:webHidden/>
              </w:rPr>
              <w:instrText xml:space="preserve"> PAGEREF _Toc139619603 \h </w:instrText>
            </w:r>
            <w:r>
              <w:rPr>
                <w:noProof/>
                <w:webHidden/>
              </w:rPr>
            </w:r>
            <w:r>
              <w:rPr>
                <w:noProof/>
                <w:webHidden/>
              </w:rPr>
              <w:fldChar w:fldCharType="separate"/>
            </w:r>
            <w:r>
              <w:rPr>
                <w:noProof/>
                <w:webHidden/>
              </w:rPr>
              <w:t>5</w:t>
            </w:r>
            <w:r>
              <w:rPr>
                <w:noProof/>
                <w:webHidden/>
              </w:rPr>
              <w:fldChar w:fldCharType="end"/>
            </w:r>
          </w:hyperlink>
        </w:p>
        <w:p w14:paraId="6A426300" w14:textId="039BDD2B" w:rsidR="00061118" w:rsidRDefault="00061118">
          <w:pPr>
            <w:pStyle w:val="TM2"/>
            <w:tabs>
              <w:tab w:val="right" w:leader="dot" w:pos="9062"/>
            </w:tabs>
            <w:rPr>
              <w:rFonts w:eastAsiaTheme="minorEastAsia"/>
              <w:noProof/>
              <w:sz w:val="22"/>
              <w:lang w:eastAsia="fr-FR"/>
            </w:rPr>
          </w:pPr>
          <w:hyperlink w:anchor="_Toc139619604" w:history="1">
            <w:r w:rsidRPr="00A25F05">
              <w:rPr>
                <w:rStyle w:val="Lienhypertexte"/>
                <w:noProof/>
              </w:rPr>
              <w:t>3.3 - Intégration des critères ESG dans le règlement interne du conseil d'administration ou de surveillance de l'entité</w:t>
            </w:r>
            <w:r>
              <w:rPr>
                <w:noProof/>
                <w:webHidden/>
              </w:rPr>
              <w:tab/>
            </w:r>
            <w:r>
              <w:rPr>
                <w:noProof/>
                <w:webHidden/>
              </w:rPr>
              <w:fldChar w:fldCharType="begin"/>
            </w:r>
            <w:r>
              <w:rPr>
                <w:noProof/>
                <w:webHidden/>
              </w:rPr>
              <w:instrText xml:space="preserve"> PAGEREF _Toc139619604 \h </w:instrText>
            </w:r>
            <w:r>
              <w:rPr>
                <w:noProof/>
                <w:webHidden/>
              </w:rPr>
            </w:r>
            <w:r>
              <w:rPr>
                <w:noProof/>
                <w:webHidden/>
              </w:rPr>
              <w:fldChar w:fldCharType="separate"/>
            </w:r>
            <w:r>
              <w:rPr>
                <w:noProof/>
                <w:webHidden/>
              </w:rPr>
              <w:t>6</w:t>
            </w:r>
            <w:r>
              <w:rPr>
                <w:noProof/>
                <w:webHidden/>
              </w:rPr>
              <w:fldChar w:fldCharType="end"/>
            </w:r>
          </w:hyperlink>
        </w:p>
        <w:p w14:paraId="0FDCF961" w14:textId="0EDE5D06" w:rsidR="00061118" w:rsidRDefault="00061118">
          <w:pPr>
            <w:pStyle w:val="TM1"/>
            <w:tabs>
              <w:tab w:val="left" w:pos="440"/>
            </w:tabs>
            <w:rPr>
              <w:rFonts w:eastAsiaTheme="minorEastAsia"/>
              <w:b w:val="0"/>
              <w:bCs w:val="0"/>
              <w:sz w:val="22"/>
              <w:lang w:eastAsia="fr-FR"/>
            </w:rPr>
          </w:pPr>
          <w:hyperlink w:anchor="_Toc139619605" w:history="1">
            <w:r w:rsidRPr="00A25F05">
              <w:rPr>
                <w:rStyle w:val="Lienhypertexte"/>
              </w:rPr>
              <w:t>4.</w:t>
            </w:r>
            <w:r>
              <w:rPr>
                <w:rFonts w:eastAsiaTheme="minorEastAsia"/>
                <w:b w:val="0"/>
                <w:bCs w:val="0"/>
                <w:sz w:val="22"/>
                <w:lang w:eastAsia="fr-FR"/>
              </w:rPr>
              <w:tab/>
            </w:r>
            <w:r w:rsidRPr="00A25F05">
              <w:rPr>
                <w:rStyle w:val="Lienhypertexte"/>
              </w:rPr>
              <w:t>Informations sur la stratégie d'engagement auprès des émetteurs ou vis-à-vis des sociétés de gestion et sa mise en œuvre</w:t>
            </w:r>
            <w:r>
              <w:rPr>
                <w:webHidden/>
              </w:rPr>
              <w:tab/>
            </w:r>
            <w:r>
              <w:rPr>
                <w:webHidden/>
              </w:rPr>
              <w:fldChar w:fldCharType="begin"/>
            </w:r>
            <w:r>
              <w:rPr>
                <w:webHidden/>
              </w:rPr>
              <w:instrText xml:space="preserve"> PAGEREF _Toc139619605 \h </w:instrText>
            </w:r>
            <w:r>
              <w:rPr>
                <w:webHidden/>
              </w:rPr>
            </w:r>
            <w:r>
              <w:rPr>
                <w:webHidden/>
              </w:rPr>
              <w:fldChar w:fldCharType="separate"/>
            </w:r>
            <w:r>
              <w:rPr>
                <w:webHidden/>
              </w:rPr>
              <w:t>6</w:t>
            </w:r>
            <w:r>
              <w:rPr>
                <w:webHidden/>
              </w:rPr>
              <w:fldChar w:fldCharType="end"/>
            </w:r>
          </w:hyperlink>
        </w:p>
        <w:p w14:paraId="2B57B3D0" w14:textId="1131FB76" w:rsidR="00061118" w:rsidRDefault="00061118">
          <w:pPr>
            <w:pStyle w:val="TM2"/>
            <w:tabs>
              <w:tab w:val="right" w:leader="dot" w:pos="9062"/>
            </w:tabs>
            <w:rPr>
              <w:rFonts w:eastAsiaTheme="minorEastAsia"/>
              <w:noProof/>
              <w:sz w:val="22"/>
              <w:lang w:eastAsia="fr-FR"/>
            </w:rPr>
          </w:pPr>
          <w:hyperlink w:anchor="_Toc139619606" w:history="1">
            <w:r w:rsidRPr="00A25F05">
              <w:rPr>
                <w:rStyle w:val="Lienhypertexte"/>
                <w:noProof/>
              </w:rPr>
              <w:t>4.1 - Périmètre des entreprises concernées par la stratégie d’engagement</w:t>
            </w:r>
            <w:r>
              <w:rPr>
                <w:noProof/>
                <w:webHidden/>
              </w:rPr>
              <w:tab/>
            </w:r>
            <w:r>
              <w:rPr>
                <w:noProof/>
                <w:webHidden/>
              </w:rPr>
              <w:fldChar w:fldCharType="begin"/>
            </w:r>
            <w:r>
              <w:rPr>
                <w:noProof/>
                <w:webHidden/>
              </w:rPr>
              <w:instrText xml:space="preserve"> PAGEREF _Toc139619606 \h </w:instrText>
            </w:r>
            <w:r>
              <w:rPr>
                <w:noProof/>
                <w:webHidden/>
              </w:rPr>
            </w:r>
            <w:r>
              <w:rPr>
                <w:noProof/>
                <w:webHidden/>
              </w:rPr>
              <w:fldChar w:fldCharType="separate"/>
            </w:r>
            <w:r>
              <w:rPr>
                <w:noProof/>
                <w:webHidden/>
              </w:rPr>
              <w:t>6</w:t>
            </w:r>
            <w:r>
              <w:rPr>
                <w:noProof/>
                <w:webHidden/>
              </w:rPr>
              <w:fldChar w:fldCharType="end"/>
            </w:r>
          </w:hyperlink>
        </w:p>
        <w:p w14:paraId="5E9A0788" w14:textId="36C5D533" w:rsidR="00061118" w:rsidRDefault="00061118">
          <w:pPr>
            <w:pStyle w:val="TM2"/>
            <w:tabs>
              <w:tab w:val="right" w:leader="dot" w:pos="9062"/>
            </w:tabs>
            <w:rPr>
              <w:rFonts w:eastAsiaTheme="minorEastAsia"/>
              <w:noProof/>
              <w:sz w:val="22"/>
              <w:lang w:eastAsia="fr-FR"/>
            </w:rPr>
          </w:pPr>
          <w:hyperlink w:anchor="_Toc139619607" w:history="1">
            <w:r w:rsidRPr="00A25F05">
              <w:rPr>
                <w:rStyle w:val="Lienhypertexte"/>
                <w:noProof/>
              </w:rPr>
              <w:t>4.2 - Politique de vote</w:t>
            </w:r>
            <w:r>
              <w:rPr>
                <w:noProof/>
                <w:webHidden/>
              </w:rPr>
              <w:tab/>
            </w:r>
            <w:r>
              <w:rPr>
                <w:noProof/>
                <w:webHidden/>
              </w:rPr>
              <w:fldChar w:fldCharType="begin"/>
            </w:r>
            <w:r>
              <w:rPr>
                <w:noProof/>
                <w:webHidden/>
              </w:rPr>
              <w:instrText xml:space="preserve"> PAGEREF _Toc139619607 \h </w:instrText>
            </w:r>
            <w:r>
              <w:rPr>
                <w:noProof/>
                <w:webHidden/>
              </w:rPr>
            </w:r>
            <w:r>
              <w:rPr>
                <w:noProof/>
                <w:webHidden/>
              </w:rPr>
              <w:fldChar w:fldCharType="separate"/>
            </w:r>
            <w:r>
              <w:rPr>
                <w:noProof/>
                <w:webHidden/>
              </w:rPr>
              <w:t>6</w:t>
            </w:r>
            <w:r>
              <w:rPr>
                <w:noProof/>
                <w:webHidden/>
              </w:rPr>
              <w:fldChar w:fldCharType="end"/>
            </w:r>
          </w:hyperlink>
        </w:p>
        <w:p w14:paraId="561FC57F" w14:textId="7B89E22B" w:rsidR="00061118" w:rsidRDefault="00061118">
          <w:pPr>
            <w:pStyle w:val="TM2"/>
            <w:tabs>
              <w:tab w:val="right" w:leader="dot" w:pos="9062"/>
            </w:tabs>
            <w:rPr>
              <w:rFonts w:eastAsiaTheme="minorEastAsia"/>
              <w:noProof/>
              <w:sz w:val="22"/>
              <w:lang w:eastAsia="fr-FR"/>
            </w:rPr>
          </w:pPr>
          <w:hyperlink w:anchor="_Toc139619608" w:history="1">
            <w:r w:rsidRPr="00A25F05">
              <w:rPr>
                <w:rStyle w:val="Lienhypertexte"/>
                <w:noProof/>
              </w:rPr>
              <w:t>4.3 - Bilan de la stratégie d’engagement mise en œuvre</w:t>
            </w:r>
            <w:r>
              <w:rPr>
                <w:noProof/>
                <w:webHidden/>
              </w:rPr>
              <w:tab/>
            </w:r>
            <w:r>
              <w:rPr>
                <w:noProof/>
                <w:webHidden/>
              </w:rPr>
              <w:fldChar w:fldCharType="begin"/>
            </w:r>
            <w:r>
              <w:rPr>
                <w:noProof/>
                <w:webHidden/>
              </w:rPr>
              <w:instrText xml:space="preserve"> PAGEREF _Toc139619608 \h </w:instrText>
            </w:r>
            <w:r>
              <w:rPr>
                <w:noProof/>
                <w:webHidden/>
              </w:rPr>
            </w:r>
            <w:r>
              <w:rPr>
                <w:noProof/>
                <w:webHidden/>
              </w:rPr>
              <w:fldChar w:fldCharType="separate"/>
            </w:r>
            <w:r>
              <w:rPr>
                <w:noProof/>
                <w:webHidden/>
              </w:rPr>
              <w:t>6</w:t>
            </w:r>
            <w:r>
              <w:rPr>
                <w:noProof/>
                <w:webHidden/>
              </w:rPr>
              <w:fldChar w:fldCharType="end"/>
            </w:r>
          </w:hyperlink>
        </w:p>
        <w:p w14:paraId="1BE871DB" w14:textId="7228C372" w:rsidR="00061118" w:rsidRDefault="00061118">
          <w:pPr>
            <w:pStyle w:val="TM2"/>
            <w:tabs>
              <w:tab w:val="right" w:leader="dot" w:pos="9062"/>
            </w:tabs>
            <w:rPr>
              <w:rFonts w:eastAsiaTheme="minorEastAsia"/>
              <w:noProof/>
              <w:sz w:val="22"/>
              <w:lang w:eastAsia="fr-FR"/>
            </w:rPr>
          </w:pPr>
          <w:hyperlink w:anchor="_Toc139619609" w:history="1">
            <w:r w:rsidRPr="00A25F05">
              <w:rPr>
                <w:rStyle w:val="Lienhypertexte"/>
                <w:noProof/>
              </w:rPr>
              <w:t>4.4 - Bilan de la politique de vote mise en œuvre</w:t>
            </w:r>
            <w:r>
              <w:rPr>
                <w:noProof/>
                <w:webHidden/>
              </w:rPr>
              <w:tab/>
            </w:r>
            <w:r>
              <w:rPr>
                <w:noProof/>
                <w:webHidden/>
              </w:rPr>
              <w:fldChar w:fldCharType="begin"/>
            </w:r>
            <w:r>
              <w:rPr>
                <w:noProof/>
                <w:webHidden/>
              </w:rPr>
              <w:instrText xml:space="preserve"> PAGEREF _Toc139619609 \h </w:instrText>
            </w:r>
            <w:r>
              <w:rPr>
                <w:noProof/>
                <w:webHidden/>
              </w:rPr>
            </w:r>
            <w:r>
              <w:rPr>
                <w:noProof/>
                <w:webHidden/>
              </w:rPr>
              <w:fldChar w:fldCharType="separate"/>
            </w:r>
            <w:r>
              <w:rPr>
                <w:noProof/>
                <w:webHidden/>
              </w:rPr>
              <w:t>6</w:t>
            </w:r>
            <w:r>
              <w:rPr>
                <w:noProof/>
                <w:webHidden/>
              </w:rPr>
              <w:fldChar w:fldCharType="end"/>
            </w:r>
          </w:hyperlink>
        </w:p>
        <w:p w14:paraId="3F64946F" w14:textId="08F190B2" w:rsidR="00061118" w:rsidRDefault="00061118">
          <w:pPr>
            <w:pStyle w:val="TM2"/>
            <w:tabs>
              <w:tab w:val="right" w:leader="dot" w:pos="9062"/>
            </w:tabs>
            <w:rPr>
              <w:rFonts w:eastAsiaTheme="minorEastAsia"/>
              <w:noProof/>
              <w:sz w:val="22"/>
              <w:lang w:eastAsia="fr-FR"/>
            </w:rPr>
          </w:pPr>
          <w:hyperlink w:anchor="_Toc139619610" w:history="1">
            <w:r w:rsidRPr="00A25F05">
              <w:rPr>
                <w:rStyle w:val="Lienhypertexte"/>
                <w:noProof/>
              </w:rPr>
              <w:t>4.5 - Décisions prises en matière de stratégie d'investissement.</w:t>
            </w:r>
            <w:r>
              <w:rPr>
                <w:noProof/>
                <w:webHidden/>
              </w:rPr>
              <w:tab/>
            </w:r>
            <w:r>
              <w:rPr>
                <w:noProof/>
                <w:webHidden/>
              </w:rPr>
              <w:fldChar w:fldCharType="begin"/>
            </w:r>
            <w:r>
              <w:rPr>
                <w:noProof/>
                <w:webHidden/>
              </w:rPr>
              <w:instrText xml:space="preserve"> PAGEREF _Toc139619610 \h </w:instrText>
            </w:r>
            <w:r>
              <w:rPr>
                <w:noProof/>
                <w:webHidden/>
              </w:rPr>
            </w:r>
            <w:r>
              <w:rPr>
                <w:noProof/>
                <w:webHidden/>
              </w:rPr>
              <w:fldChar w:fldCharType="separate"/>
            </w:r>
            <w:r>
              <w:rPr>
                <w:noProof/>
                <w:webHidden/>
              </w:rPr>
              <w:t>6</w:t>
            </w:r>
            <w:r>
              <w:rPr>
                <w:noProof/>
                <w:webHidden/>
              </w:rPr>
              <w:fldChar w:fldCharType="end"/>
            </w:r>
          </w:hyperlink>
        </w:p>
        <w:p w14:paraId="109F30CE" w14:textId="461EC8F2" w:rsidR="00061118" w:rsidRDefault="00061118">
          <w:pPr>
            <w:pStyle w:val="TM1"/>
            <w:tabs>
              <w:tab w:val="left" w:pos="440"/>
            </w:tabs>
            <w:rPr>
              <w:rFonts w:eastAsiaTheme="minorEastAsia"/>
              <w:b w:val="0"/>
              <w:bCs w:val="0"/>
              <w:sz w:val="22"/>
              <w:lang w:eastAsia="fr-FR"/>
            </w:rPr>
          </w:pPr>
          <w:hyperlink w:anchor="_Toc139619611" w:history="1">
            <w:r w:rsidRPr="00A25F05">
              <w:rPr>
                <w:rStyle w:val="Lienhypertexte"/>
              </w:rPr>
              <w:t>5.</w:t>
            </w:r>
            <w:r>
              <w:rPr>
                <w:rFonts w:eastAsiaTheme="minorEastAsia"/>
                <w:b w:val="0"/>
                <w:bCs w:val="0"/>
                <w:sz w:val="22"/>
                <w:lang w:eastAsia="fr-FR"/>
              </w:rPr>
              <w:tab/>
            </w:r>
            <w:r w:rsidRPr="00A25F05">
              <w:rPr>
                <w:rStyle w:val="Lienhypertexte"/>
              </w:rPr>
              <w:t>Taxonomie européenne et combustibles fossiles</w:t>
            </w:r>
            <w:r>
              <w:rPr>
                <w:webHidden/>
              </w:rPr>
              <w:tab/>
            </w:r>
            <w:r>
              <w:rPr>
                <w:webHidden/>
              </w:rPr>
              <w:fldChar w:fldCharType="begin"/>
            </w:r>
            <w:r>
              <w:rPr>
                <w:webHidden/>
              </w:rPr>
              <w:instrText xml:space="preserve"> PAGEREF _Toc139619611 \h </w:instrText>
            </w:r>
            <w:r>
              <w:rPr>
                <w:webHidden/>
              </w:rPr>
            </w:r>
            <w:r>
              <w:rPr>
                <w:webHidden/>
              </w:rPr>
              <w:fldChar w:fldCharType="separate"/>
            </w:r>
            <w:r>
              <w:rPr>
                <w:webHidden/>
              </w:rPr>
              <w:t>7</w:t>
            </w:r>
            <w:r>
              <w:rPr>
                <w:webHidden/>
              </w:rPr>
              <w:fldChar w:fldCharType="end"/>
            </w:r>
          </w:hyperlink>
        </w:p>
        <w:p w14:paraId="46201771" w14:textId="6558E1A9" w:rsidR="00061118" w:rsidRDefault="00061118">
          <w:pPr>
            <w:pStyle w:val="TM1"/>
            <w:tabs>
              <w:tab w:val="left" w:pos="440"/>
            </w:tabs>
            <w:rPr>
              <w:rFonts w:eastAsiaTheme="minorEastAsia"/>
              <w:b w:val="0"/>
              <w:bCs w:val="0"/>
              <w:sz w:val="22"/>
              <w:lang w:eastAsia="fr-FR"/>
            </w:rPr>
          </w:pPr>
          <w:hyperlink w:anchor="_Toc139619612" w:history="1">
            <w:r w:rsidRPr="00A25F05">
              <w:rPr>
                <w:rStyle w:val="Lienhypertexte"/>
              </w:rPr>
              <w:t>6.</w:t>
            </w:r>
            <w:r>
              <w:rPr>
                <w:rFonts w:eastAsiaTheme="minorEastAsia"/>
                <w:b w:val="0"/>
                <w:bCs w:val="0"/>
                <w:sz w:val="22"/>
                <w:lang w:eastAsia="fr-FR"/>
              </w:rPr>
              <w:tab/>
            </w:r>
            <w:r w:rsidRPr="00A25F05">
              <w:rPr>
                <w:rStyle w:val="Lienhypertexte"/>
              </w:rPr>
              <w:t>Informations sur la stratégie d'alignement avec les objectifs internationaux de limitation du réchauffement climatique prévus par l'Accord de Paris</w:t>
            </w:r>
            <w:r>
              <w:rPr>
                <w:webHidden/>
              </w:rPr>
              <w:tab/>
            </w:r>
            <w:r>
              <w:rPr>
                <w:webHidden/>
              </w:rPr>
              <w:fldChar w:fldCharType="begin"/>
            </w:r>
            <w:r>
              <w:rPr>
                <w:webHidden/>
              </w:rPr>
              <w:instrText xml:space="preserve"> PAGEREF _Toc139619612 \h </w:instrText>
            </w:r>
            <w:r>
              <w:rPr>
                <w:webHidden/>
              </w:rPr>
            </w:r>
            <w:r>
              <w:rPr>
                <w:webHidden/>
              </w:rPr>
              <w:fldChar w:fldCharType="separate"/>
            </w:r>
            <w:r>
              <w:rPr>
                <w:webHidden/>
              </w:rPr>
              <w:t>7</w:t>
            </w:r>
            <w:r>
              <w:rPr>
                <w:webHidden/>
              </w:rPr>
              <w:fldChar w:fldCharType="end"/>
            </w:r>
          </w:hyperlink>
        </w:p>
        <w:p w14:paraId="58302443" w14:textId="58857296" w:rsidR="00061118" w:rsidRDefault="00061118">
          <w:pPr>
            <w:pStyle w:val="TM1"/>
            <w:tabs>
              <w:tab w:val="left" w:pos="440"/>
            </w:tabs>
            <w:rPr>
              <w:rFonts w:eastAsiaTheme="minorEastAsia"/>
              <w:b w:val="0"/>
              <w:bCs w:val="0"/>
              <w:sz w:val="22"/>
              <w:lang w:eastAsia="fr-FR"/>
            </w:rPr>
          </w:pPr>
          <w:hyperlink w:anchor="_Toc139619613" w:history="1">
            <w:r w:rsidRPr="00A25F05">
              <w:rPr>
                <w:rStyle w:val="Lienhypertexte"/>
              </w:rPr>
              <w:t>7.</w:t>
            </w:r>
            <w:r>
              <w:rPr>
                <w:rFonts w:eastAsiaTheme="minorEastAsia"/>
                <w:b w:val="0"/>
                <w:bCs w:val="0"/>
                <w:sz w:val="22"/>
                <w:lang w:eastAsia="fr-FR"/>
              </w:rPr>
              <w:tab/>
            </w:r>
            <w:r w:rsidRPr="00A25F05">
              <w:rPr>
                <w:rStyle w:val="Lienhypertexte"/>
              </w:rPr>
              <w:t>Stratégie d'alignement avec les objectifs de long terme liés à la biodiversité</w:t>
            </w:r>
            <w:r>
              <w:rPr>
                <w:webHidden/>
              </w:rPr>
              <w:tab/>
            </w:r>
            <w:r>
              <w:rPr>
                <w:webHidden/>
              </w:rPr>
              <w:fldChar w:fldCharType="begin"/>
            </w:r>
            <w:r>
              <w:rPr>
                <w:webHidden/>
              </w:rPr>
              <w:instrText xml:space="preserve"> PAGEREF _Toc139619613 \h </w:instrText>
            </w:r>
            <w:r>
              <w:rPr>
                <w:webHidden/>
              </w:rPr>
            </w:r>
            <w:r>
              <w:rPr>
                <w:webHidden/>
              </w:rPr>
              <w:fldChar w:fldCharType="separate"/>
            </w:r>
            <w:r>
              <w:rPr>
                <w:webHidden/>
              </w:rPr>
              <w:t>7</w:t>
            </w:r>
            <w:r>
              <w:rPr>
                <w:webHidden/>
              </w:rPr>
              <w:fldChar w:fldCharType="end"/>
            </w:r>
          </w:hyperlink>
        </w:p>
        <w:p w14:paraId="49EC12DA" w14:textId="4131ED51" w:rsidR="00061118" w:rsidRDefault="00061118">
          <w:pPr>
            <w:pStyle w:val="TM1"/>
            <w:tabs>
              <w:tab w:val="left" w:pos="440"/>
            </w:tabs>
            <w:rPr>
              <w:rFonts w:eastAsiaTheme="minorEastAsia"/>
              <w:b w:val="0"/>
              <w:bCs w:val="0"/>
              <w:sz w:val="22"/>
              <w:lang w:eastAsia="fr-FR"/>
            </w:rPr>
          </w:pPr>
          <w:hyperlink w:anchor="_Toc139619614" w:history="1">
            <w:r w:rsidRPr="00A25F05">
              <w:rPr>
                <w:rStyle w:val="Lienhypertexte"/>
              </w:rPr>
              <w:t>8.</w:t>
            </w:r>
            <w:r>
              <w:rPr>
                <w:rFonts w:eastAsiaTheme="minorEastAsia"/>
                <w:b w:val="0"/>
                <w:bCs w:val="0"/>
                <w:sz w:val="22"/>
                <w:lang w:eastAsia="fr-FR"/>
              </w:rPr>
              <w:tab/>
            </w:r>
            <w:r w:rsidRPr="00A25F05">
              <w:rPr>
                <w:rStyle w:val="Lienhypertexte"/>
              </w:rPr>
              <w:t>Démarche de prise en compte des critères environnementaux, sociaux et de qualité de gouvernance dans la gestion des risques, notamment les risques physiques, de transition et de responsabilité liés au changement climatique et à la biodiversité</w:t>
            </w:r>
            <w:r>
              <w:rPr>
                <w:webHidden/>
              </w:rPr>
              <w:tab/>
            </w:r>
            <w:r>
              <w:rPr>
                <w:webHidden/>
              </w:rPr>
              <w:fldChar w:fldCharType="begin"/>
            </w:r>
            <w:r>
              <w:rPr>
                <w:webHidden/>
              </w:rPr>
              <w:instrText xml:space="preserve"> PAGEREF _Toc139619614 \h </w:instrText>
            </w:r>
            <w:r>
              <w:rPr>
                <w:webHidden/>
              </w:rPr>
            </w:r>
            <w:r>
              <w:rPr>
                <w:webHidden/>
              </w:rPr>
              <w:fldChar w:fldCharType="separate"/>
            </w:r>
            <w:r>
              <w:rPr>
                <w:webHidden/>
              </w:rPr>
              <w:t>8</w:t>
            </w:r>
            <w:r>
              <w:rPr>
                <w:webHidden/>
              </w:rPr>
              <w:fldChar w:fldCharType="end"/>
            </w:r>
          </w:hyperlink>
        </w:p>
        <w:p w14:paraId="009C2059" w14:textId="5F40B410" w:rsidR="00061118" w:rsidRDefault="00061118">
          <w:pPr>
            <w:pStyle w:val="TM1"/>
            <w:tabs>
              <w:tab w:val="left" w:pos="440"/>
            </w:tabs>
            <w:rPr>
              <w:rFonts w:eastAsiaTheme="minorEastAsia"/>
              <w:b w:val="0"/>
              <w:bCs w:val="0"/>
              <w:sz w:val="22"/>
              <w:lang w:eastAsia="fr-FR"/>
            </w:rPr>
          </w:pPr>
          <w:hyperlink w:anchor="_Toc139619615" w:history="1">
            <w:r w:rsidRPr="00A25F05">
              <w:rPr>
                <w:rStyle w:val="Lienhypertexte"/>
              </w:rPr>
              <w:t>9.</w:t>
            </w:r>
            <w:r>
              <w:rPr>
                <w:rFonts w:eastAsiaTheme="minorEastAsia"/>
                <w:b w:val="0"/>
                <w:bCs w:val="0"/>
                <w:sz w:val="22"/>
                <w:lang w:eastAsia="fr-FR"/>
              </w:rPr>
              <w:tab/>
            </w:r>
            <w:r w:rsidRPr="00A25F05">
              <w:rPr>
                <w:rStyle w:val="Lienhypertexte"/>
              </w:rPr>
              <w:t>Liste des FIA sous gestion répondant à la définition des fonds article 8 et 9 du Règlement SFDR</w:t>
            </w:r>
            <w:r>
              <w:rPr>
                <w:webHidden/>
              </w:rPr>
              <w:tab/>
            </w:r>
            <w:r>
              <w:rPr>
                <w:webHidden/>
              </w:rPr>
              <w:fldChar w:fldCharType="begin"/>
            </w:r>
            <w:r>
              <w:rPr>
                <w:webHidden/>
              </w:rPr>
              <w:instrText xml:space="preserve"> PAGEREF _Toc139619615 \h </w:instrText>
            </w:r>
            <w:r>
              <w:rPr>
                <w:webHidden/>
              </w:rPr>
            </w:r>
            <w:r>
              <w:rPr>
                <w:webHidden/>
              </w:rPr>
              <w:fldChar w:fldCharType="separate"/>
            </w:r>
            <w:r>
              <w:rPr>
                <w:webHidden/>
              </w:rPr>
              <w:t>9</w:t>
            </w:r>
            <w:r>
              <w:rPr>
                <w:webHidden/>
              </w:rPr>
              <w:fldChar w:fldCharType="end"/>
            </w:r>
          </w:hyperlink>
        </w:p>
        <w:p w14:paraId="3EE24ABC" w14:textId="0091A012" w:rsidR="00D303BF" w:rsidRPr="00D303BF" w:rsidRDefault="00D303BF" w:rsidP="00D303BF">
          <w:pPr>
            <w:rPr>
              <w:rFonts w:ascii="Garamond" w:hAnsi="Garamond"/>
            </w:rPr>
          </w:pPr>
          <w:r w:rsidRPr="00D303BF">
            <w:rPr>
              <w:rFonts w:ascii="Garamond" w:hAnsi="Garamond"/>
              <w:b/>
              <w:bCs/>
            </w:rPr>
            <w:fldChar w:fldCharType="end"/>
          </w:r>
        </w:p>
      </w:sdtContent>
    </w:sdt>
    <w:p w14:paraId="0A59F015" w14:textId="77777777" w:rsidR="00D303BF" w:rsidRPr="00D303BF" w:rsidRDefault="00D303BF" w:rsidP="00D303BF">
      <w:pPr>
        <w:tabs>
          <w:tab w:val="left" w:pos="2190"/>
          <w:tab w:val="center" w:pos="4536"/>
        </w:tabs>
        <w:rPr>
          <w:rFonts w:ascii="Garamond" w:hAnsi="Garamond"/>
          <w:sz w:val="48"/>
          <w:szCs w:val="48"/>
        </w:rPr>
      </w:pPr>
      <w:r w:rsidRPr="00D303BF">
        <w:rPr>
          <w:rFonts w:ascii="Garamond" w:hAnsi="Garamond"/>
          <w:sz w:val="48"/>
          <w:szCs w:val="48"/>
        </w:rPr>
        <w:tab/>
      </w:r>
      <w:r w:rsidRPr="00D303BF">
        <w:rPr>
          <w:rFonts w:ascii="Garamond" w:hAnsi="Garamond"/>
          <w:sz w:val="48"/>
          <w:szCs w:val="48"/>
        </w:rPr>
        <w:tab/>
      </w:r>
      <w:r w:rsidRPr="00D303BF">
        <w:rPr>
          <w:rFonts w:ascii="Garamond" w:hAnsi="Garamond"/>
          <w:sz w:val="48"/>
          <w:szCs w:val="48"/>
        </w:rPr>
        <w:br w:type="page"/>
      </w:r>
    </w:p>
    <w:p w14:paraId="61127FC3" w14:textId="15786863" w:rsidR="00D303BF" w:rsidRDefault="004D7E28" w:rsidP="004D7E28">
      <w:pPr>
        <w:pStyle w:val="Titre1"/>
        <w:numPr>
          <w:ilvl w:val="0"/>
          <w:numId w:val="37"/>
        </w:numPr>
        <w:jc w:val="both"/>
      </w:pPr>
      <w:bookmarkStart w:id="0" w:name="_Toc139619595"/>
      <w:r w:rsidRPr="004D7E28">
        <w:lastRenderedPageBreak/>
        <w:t>Démarche générale de l’entité sur la prise en</w:t>
      </w:r>
      <w:r>
        <w:t xml:space="preserve"> </w:t>
      </w:r>
      <w:r w:rsidRPr="004D7E28">
        <w:t>compte des critères environnementaux, sociaux et de qualité de gouvernance</w:t>
      </w:r>
      <w:bookmarkEnd w:id="0"/>
    </w:p>
    <w:p w14:paraId="021FB53C" w14:textId="77777777" w:rsidR="004D7E28" w:rsidRPr="004D7E28" w:rsidRDefault="004D7E28" w:rsidP="004D7E28"/>
    <w:p w14:paraId="1DBC51C8" w14:textId="77777777" w:rsidR="00D303BF" w:rsidRPr="00D303BF" w:rsidRDefault="00D303BF" w:rsidP="00D303BF">
      <w:pPr>
        <w:pStyle w:val="Titre2"/>
      </w:pPr>
      <w:r w:rsidRPr="00D303BF">
        <w:t xml:space="preserve"> </w:t>
      </w:r>
      <w:bookmarkStart w:id="1" w:name="_Toc139619596"/>
      <w:r w:rsidRPr="00D303BF">
        <w:t xml:space="preserve">1.1 </w:t>
      </w:r>
      <w:r w:rsidR="00F87AA2">
        <w:t xml:space="preserve">- </w:t>
      </w:r>
      <w:r w:rsidRPr="00D303BF">
        <w:t>Présentation de la démarche générale dans la prise en compte de critères ESG</w:t>
      </w:r>
      <w:bookmarkEnd w:id="1"/>
      <w:r w:rsidRPr="00D303BF">
        <w:t xml:space="preserve"> </w:t>
      </w:r>
    </w:p>
    <w:p w14:paraId="5C9A1562" w14:textId="77777777" w:rsidR="00D303BF" w:rsidRPr="00D303BF" w:rsidRDefault="00D303BF" w:rsidP="0027028F"/>
    <w:p w14:paraId="1E33457E" w14:textId="0EC14715" w:rsidR="00D303BF" w:rsidRPr="00D303BF" w:rsidRDefault="0088554E" w:rsidP="00D303BF">
      <w:pPr>
        <w:spacing w:after="0" w:line="240" w:lineRule="auto"/>
        <w:jc w:val="both"/>
        <w:rPr>
          <w:rFonts w:ascii="Garamond" w:hAnsi="Garamond"/>
        </w:rPr>
      </w:pPr>
      <w:r w:rsidRPr="0088554E">
        <w:rPr>
          <w:rFonts w:ascii="Garamond" w:hAnsi="Garamond"/>
        </w:rPr>
        <w:t>INOVALIS S.A.</w:t>
      </w:r>
      <w:r w:rsidR="00D303BF" w:rsidRPr="0088554E">
        <w:rPr>
          <w:rFonts w:ascii="Garamond" w:hAnsi="Garamond"/>
        </w:rPr>
        <w:t xml:space="preserve"> est</w:t>
      </w:r>
      <w:r w:rsidR="00D303BF" w:rsidRPr="00D303BF">
        <w:rPr>
          <w:rFonts w:ascii="Garamond" w:hAnsi="Garamond"/>
        </w:rPr>
        <w:t xml:space="preserve"> une société de gestion de portefeuille agréée par l’Autorité des marchés financiers pour la gestion de FIA (soumission intégrale aux dispositions de la directive 2011/61/UE du Parlement européen et du Conseil du 8 juin 2011 sur les gestionnaires de fonds d’investissement alternatifs). </w:t>
      </w:r>
    </w:p>
    <w:p w14:paraId="2FFDB40A" w14:textId="77777777" w:rsidR="00D303BF" w:rsidRPr="00D303BF" w:rsidRDefault="00D303BF" w:rsidP="00D303BF">
      <w:pPr>
        <w:spacing w:after="0" w:line="240" w:lineRule="auto"/>
        <w:jc w:val="both"/>
        <w:rPr>
          <w:rFonts w:ascii="Garamond" w:hAnsi="Garamond"/>
        </w:rPr>
      </w:pPr>
    </w:p>
    <w:p w14:paraId="32F09F21" w14:textId="750A4E3E" w:rsidR="00D303BF" w:rsidRPr="00D303BF" w:rsidRDefault="00D303BF" w:rsidP="00D303BF">
      <w:pPr>
        <w:spacing w:after="0" w:line="240" w:lineRule="auto"/>
        <w:jc w:val="both"/>
        <w:rPr>
          <w:rFonts w:ascii="Garamond" w:hAnsi="Garamond"/>
        </w:rPr>
      </w:pPr>
      <w:r w:rsidRPr="00D303BF">
        <w:rPr>
          <w:rFonts w:ascii="Garamond" w:hAnsi="Garamond"/>
        </w:rPr>
        <w:t xml:space="preserve">Dans le cadre des stratégies d’investissement qu’elle met en œuvre pour le compte de l’ensemble de ses portefeuilles sous gestion, </w:t>
      </w:r>
      <w:r w:rsidR="0088554E">
        <w:rPr>
          <w:rFonts w:ascii="Garamond" w:hAnsi="Garamond"/>
        </w:rPr>
        <w:t>INOVALIS S.A.</w:t>
      </w:r>
      <w:r w:rsidRPr="00D303BF">
        <w:rPr>
          <w:rFonts w:ascii="Garamond" w:hAnsi="Garamond"/>
        </w:rPr>
        <w:t xml:space="preserve"> tient compte à la fois des risques financiers (incluant, notamment, les risques de marché, de liquidité et de contrepartie), des risques opérationnels, des risques de non-conformité et, dans l’hypothèse où ils sont pertinents, de risques extra-financiers qui sont susceptibles d’avoir un impact sur les autres risques.</w:t>
      </w:r>
    </w:p>
    <w:p w14:paraId="54157101" w14:textId="77777777" w:rsidR="00D303BF" w:rsidRPr="00D303BF" w:rsidRDefault="00D303BF" w:rsidP="00D303BF">
      <w:pPr>
        <w:spacing w:after="0" w:line="240" w:lineRule="auto"/>
        <w:jc w:val="both"/>
        <w:rPr>
          <w:rFonts w:ascii="Garamond" w:hAnsi="Garamond"/>
          <w:b/>
          <w:bCs/>
        </w:rPr>
      </w:pPr>
    </w:p>
    <w:p w14:paraId="5A45F50A" w14:textId="49365C09" w:rsidR="00D303BF" w:rsidRPr="00F57EE0" w:rsidRDefault="00D303BF" w:rsidP="00D303BF">
      <w:pPr>
        <w:spacing w:after="0" w:line="240" w:lineRule="auto"/>
        <w:jc w:val="both"/>
        <w:rPr>
          <w:rFonts w:ascii="Garamond" w:hAnsi="Garamond"/>
        </w:rPr>
      </w:pPr>
      <w:r w:rsidRPr="00D303BF">
        <w:rPr>
          <w:rFonts w:ascii="Garamond" w:hAnsi="Garamond"/>
        </w:rPr>
        <w:t xml:space="preserve">En pratique, les processus de prise de décision en matière d’investissement mis en œuvre par </w:t>
      </w:r>
      <w:r w:rsidR="0088554E">
        <w:rPr>
          <w:rFonts w:ascii="Garamond" w:hAnsi="Garamond"/>
        </w:rPr>
        <w:t>INOVALIS S.A.</w:t>
      </w:r>
      <w:r w:rsidRPr="00D303BF">
        <w:rPr>
          <w:rFonts w:ascii="Garamond" w:hAnsi="Garamond"/>
        </w:rPr>
        <w:t xml:space="preserve"> peuvent inclu</w:t>
      </w:r>
      <w:r w:rsidR="00926C59">
        <w:rPr>
          <w:rFonts w:ascii="Garamond" w:hAnsi="Garamond"/>
        </w:rPr>
        <w:t>re</w:t>
      </w:r>
      <w:r w:rsidRPr="00D303BF">
        <w:rPr>
          <w:rFonts w:ascii="Garamond" w:hAnsi="Garamond"/>
        </w:rPr>
        <w:t xml:space="preserve"> l’analyse de critères extra-financiers pertinents afin de privilégier une sélection basée sur des éléments environnementaux, sociaux et de gouvernance (« </w:t>
      </w:r>
      <w:r w:rsidRPr="00D303BF">
        <w:rPr>
          <w:rFonts w:ascii="Garamond" w:hAnsi="Garamond"/>
          <w:b/>
          <w:bCs/>
        </w:rPr>
        <w:t>ESG</w:t>
      </w:r>
      <w:r w:rsidRPr="00D303BF">
        <w:rPr>
          <w:rFonts w:ascii="Garamond" w:hAnsi="Garamond"/>
        </w:rPr>
        <w:t xml:space="preserve"> »), sans toutefois que ces critères soient alignés sur ceux de l’Union européenne en matière économiques durables sur le plan environnemental. </w:t>
      </w:r>
      <w:r w:rsidRPr="00926C59">
        <w:rPr>
          <w:rFonts w:ascii="Garamond" w:hAnsi="Garamond"/>
        </w:rPr>
        <w:t xml:space="preserve">Les critères ESG peuvent, selon les cas, être utilisés par plusieurs équipes de la société : </w:t>
      </w:r>
      <w:r w:rsidR="00926C59" w:rsidRPr="00926C59">
        <w:rPr>
          <w:rFonts w:ascii="Garamond" w:hAnsi="Garamond"/>
        </w:rPr>
        <w:t>Acquisition</w:t>
      </w:r>
      <w:r w:rsidRPr="00926C59">
        <w:rPr>
          <w:rFonts w:ascii="Garamond" w:hAnsi="Garamond"/>
        </w:rPr>
        <w:t xml:space="preserve">, </w:t>
      </w:r>
      <w:r w:rsidR="00926C59" w:rsidRPr="00926C59">
        <w:rPr>
          <w:rFonts w:ascii="Garamond" w:hAnsi="Garamond"/>
        </w:rPr>
        <w:t>A</w:t>
      </w:r>
      <w:r w:rsidRPr="00926C59">
        <w:rPr>
          <w:rFonts w:ascii="Garamond" w:hAnsi="Garamond"/>
        </w:rPr>
        <w:t xml:space="preserve">sset </w:t>
      </w:r>
      <w:r w:rsidR="00926C59" w:rsidRPr="00926C59">
        <w:rPr>
          <w:rFonts w:ascii="Garamond" w:hAnsi="Garamond"/>
        </w:rPr>
        <w:t>M</w:t>
      </w:r>
      <w:r w:rsidRPr="00926C59">
        <w:rPr>
          <w:rFonts w:ascii="Garamond" w:hAnsi="Garamond"/>
        </w:rPr>
        <w:t xml:space="preserve">anagement et </w:t>
      </w:r>
      <w:r w:rsidR="00926C59" w:rsidRPr="00926C59">
        <w:rPr>
          <w:rFonts w:ascii="Garamond" w:hAnsi="Garamond"/>
        </w:rPr>
        <w:t>Fund Management</w:t>
      </w:r>
      <w:r w:rsidRPr="00926C59">
        <w:rPr>
          <w:rFonts w:ascii="Garamond" w:hAnsi="Garamond"/>
        </w:rPr>
        <w:t>.</w:t>
      </w:r>
    </w:p>
    <w:p w14:paraId="48D660EA" w14:textId="77777777" w:rsidR="00D303BF" w:rsidRPr="00D303BF" w:rsidRDefault="00D303BF" w:rsidP="00D303BF">
      <w:pPr>
        <w:spacing w:after="0" w:line="240" w:lineRule="auto"/>
        <w:jc w:val="both"/>
        <w:rPr>
          <w:rFonts w:ascii="Garamond" w:hAnsi="Garamond"/>
          <w:b/>
          <w:bCs/>
        </w:rPr>
      </w:pPr>
    </w:p>
    <w:p w14:paraId="6350DA81" w14:textId="3FB99CE8" w:rsidR="00D303BF" w:rsidRPr="00D303BF" w:rsidRDefault="00D303BF" w:rsidP="00D303BF">
      <w:pPr>
        <w:spacing w:after="0" w:line="240" w:lineRule="auto"/>
        <w:jc w:val="both"/>
        <w:rPr>
          <w:rFonts w:ascii="Garamond" w:hAnsi="Garamond"/>
          <w:b/>
          <w:bCs/>
        </w:rPr>
      </w:pPr>
      <w:r w:rsidRPr="00926C59">
        <w:rPr>
          <w:rFonts w:ascii="Garamond" w:hAnsi="Garamond"/>
        </w:rPr>
        <w:t xml:space="preserve">En effet, </w:t>
      </w:r>
      <w:r w:rsidR="0088554E" w:rsidRPr="00926C59">
        <w:rPr>
          <w:rFonts w:ascii="Garamond" w:hAnsi="Garamond"/>
        </w:rPr>
        <w:t>INOVALIS S.A.</w:t>
      </w:r>
      <w:r w:rsidRPr="00926C59">
        <w:rPr>
          <w:rFonts w:ascii="Garamond" w:hAnsi="Garamond"/>
        </w:rPr>
        <w:t xml:space="preserve"> est convaincue que la prise en compte de critères ESG peut avoir, dans certains cas et sur le long terme, un impact sensible sur le rendement des organismes de placement collectifs. Ainsi, un actif immobilier à la qualité extra-financière insuffisante au regard de critères ESG risque de rencontrer davantage de difficultés à générer une performance positive sur le long terme provenant de flux locatifs considérés comme pérennes ou d’un potentiel de revalorisation élevé.</w:t>
      </w:r>
    </w:p>
    <w:p w14:paraId="2FDB7D7A" w14:textId="77777777" w:rsidR="00D303BF" w:rsidRPr="00D303BF" w:rsidRDefault="00D303BF" w:rsidP="00D303BF">
      <w:pPr>
        <w:spacing w:after="0" w:line="240" w:lineRule="auto"/>
        <w:jc w:val="both"/>
        <w:rPr>
          <w:rFonts w:ascii="Garamond" w:hAnsi="Garamond"/>
          <w:b/>
          <w:bCs/>
        </w:rPr>
      </w:pPr>
    </w:p>
    <w:p w14:paraId="12697968" w14:textId="50F0A1C2" w:rsidR="00D303BF" w:rsidRPr="00D303BF" w:rsidRDefault="00D303BF" w:rsidP="00D303BF">
      <w:pPr>
        <w:spacing w:after="0" w:line="240" w:lineRule="auto"/>
        <w:jc w:val="both"/>
        <w:rPr>
          <w:rFonts w:ascii="Garamond" w:hAnsi="Garamond"/>
        </w:rPr>
      </w:pPr>
      <w:r w:rsidRPr="00D303BF">
        <w:rPr>
          <w:rFonts w:ascii="Garamond" w:hAnsi="Garamond"/>
        </w:rPr>
        <w:t xml:space="preserve">Ainsi, lorsqu’ils sont pertinents, les critères ESG suivants peuvent, notamment, être pris en compte dans les stratégies d’investissement mises en œuvre par </w:t>
      </w:r>
      <w:r w:rsidR="0088554E">
        <w:rPr>
          <w:rFonts w:ascii="Garamond" w:hAnsi="Garamond"/>
        </w:rPr>
        <w:t>INOVALIS S.A.</w:t>
      </w:r>
      <w:r w:rsidRPr="00D303BF">
        <w:rPr>
          <w:rFonts w:ascii="Garamond" w:hAnsi="Garamond"/>
        </w:rPr>
        <w:t> :</w:t>
      </w:r>
    </w:p>
    <w:p w14:paraId="73633437" w14:textId="77777777" w:rsidR="00D303BF" w:rsidRPr="00D303BF" w:rsidRDefault="00D303BF" w:rsidP="00D303BF">
      <w:pPr>
        <w:spacing w:after="0" w:line="240" w:lineRule="auto"/>
        <w:jc w:val="both"/>
        <w:rPr>
          <w:rFonts w:ascii="Garamond" w:hAnsi="Garamond"/>
        </w:rPr>
      </w:pPr>
    </w:p>
    <w:tbl>
      <w:tblPr>
        <w:tblStyle w:val="Grilledutableau"/>
        <w:tblW w:w="0" w:type="auto"/>
        <w:tblLook w:val="04A0" w:firstRow="1" w:lastRow="0" w:firstColumn="1" w:lastColumn="0" w:noHBand="0" w:noVBand="1"/>
      </w:tblPr>
      <w:tblGrid>
        <w:gridCol w:w="3020"/>
        <w:gridCol w:w="3021"/>
        <w:gridCol w:w="3021"/>
      </w:tblGrid>
      <w:tr w:rsidR="00D303BF" w:rsidRPr="00D303BF" w14:paraId="6375F522" w14:textId="77777777" w:rsidTr="005262DD">
        <w:trPr>
          <w:cantSplit/>
          <w:tblHeader/>
        </w:trPr>
        <w:tc>
          <w:tcPr>
            <w:tcW w:w="3020" w:type="dxa"/>
            <w:shd w:val="clear" w:color="auto" w:fill="00B050"/>
          </w:tcPr>
          <w:p w14:paraId="3FD70CFA" w14:textId="77777777" w:rsidR="00D303BF" w:rsidRPr="00D303BF" w:rsidRDefault="00D303BF" w:rsidP="005262DD">
            <w:pPr>
              <w:jc w:val="center"/>
              <w:rPr>
                <w:rFonts w:ascii="Garamond" w:hAnsi="Garamond"/>
                <w:b/>
                <w:bCs/>
                <w:color w:val="FFFFFF" w:themeColor="background1"/>
              </w:rPr>
            </w:pPr>
            <w:r w:rsidRPr="00F87AA2">
              <w:rPr>
                <w:rFonts w:ascii="Garamond" w:hAnsi="Garamond"/>
                <w:b/>
                <w:bCs/>
              </w:rPr>
              <w:t>Environnement</w:t>
            </w:r>
          </w:p>
        </w:tc>
        <w:tc>
          <w:tcPr>
            <w:tcW w:w="3021" w:type="dxa"/>
            <w:shd w:val="clear" w:color="auto" w:fill="FFFF00"/>
          </w:tcPr>
          <w:p w14:paraId="3819BB59" w14:textId="77777777" w:rsidR="00D303BF" w:rsidRPr="00D303BF" w:rsidRDefault="00D303BF" w:rsidP="005262DD">
            <w:pPr>
              <w:jc w:val="center"/>
              <w:rPr>
                <w:rFonts w:ascii="Garamond" w:hAnsi="Garamond"/>
                <w:b/>
                <w:bCs/>
                <w:color w:val="FFFFFF" w:themeColor="background1"/>
              </w:rPr>
            </w:pPr>
            <w:r w:rsidRPr="00F87AA2">
              <w:rPr>
                <w:rFonts w:ascii="Garamond" w:hAnsi="Garamond"/>
                <w:b/>
                <w:bCs/>
              </w:rPr>
              <w:t>Social</w:t>
            </w:r>
          </w:p>
        </w:tc>
        <w:tc>
          <w:tcPr>
            <w:tcW w:w="3021" w:type="dxa"/>
            <w:shd w:val="clear" w:color="auto" w:fill="FF0000"/>
          </w:tcPr>
          <w:p w14:paraId="4E3507B8" w14:textId="77777777" w:rsidR="00D303BF" w:rsidRPr="00D303BF" w:rsidRDefault="00D303BF" w:rsidP="005262DD">
            <w:pPr>
              <w:jc w:val="center"/>
              <w:rPr>
                <w:rFonts w:ascii="Garamond" w:hAnsi="Garamond"/>
                <w:b/>
                <w:bCs/>
                <w:color w:val="FFFFFF" w:themeColor="background1"/>
              </w:rPr>
            </w:pPr>
            <w:r w:rsidRPr="00F87AA2">
              <w:rPr>
                <w:rFonts w:ascii="Garamond" w:hAnsi="Garamond"/>
                <w:b/>
                <w:bCs/>
              </w:rPr>
              <w:t>Gouvernance</w:t>
            </w:r>
          </w:p>
        </w:tc>
      </w:tr>
      <w:tr w:rsidR="00D303BF" w:rsidRPr="00D303BF" w14:paraId="519D8F29" w14:textId="77777777" w:rsidTr="005262DD">
        <w:tc>
          <w:tcPr>
            <w:tcW w:w="3020" w:type="dxa"/>
          </w:tcPr>
          <w:p w14:paraId="3F4A0AA5" w14:textId="77777777" w:rsidR="00D303BF" w:rsidRPr="00D303BF" w:rsidRDefault="00D303BF" w:rsidP="00D303BF">
            <w:pPr>
              <w:pStyle w:val="Paragraphedeliste"/>
              <w:numPr>
                <w:ilvl w:val="0"/>
                <w:numId w:val="20"/>
              </w:numPr>
              <w:spacing w:line="240" w:lineRule="auto"/>
              <w:ind w:left="318" w:hanging="142"/>
              <w:jc w:val="both"/>
              <w:rPr>
                <w:rFonts w:ascii="Garamond" w:hAnsi="Garamond"/>
              </w:rPr>
            </w:pPr>
            <w:r w:rsidRPr="00D303BF">
              <w:rPr>
                <w:rFonts w:ascii="Garamond" w:hAnsi="Garamond"/>
              </w:rPr>
              <w:t>Utilisation de l’énergie</w:t>
            </w:r>
          </w:p>
          <w:p w14:paraId="3FBB3C23" w14:textId="77777777" w:rsidR="00DA52C7" w:rsidRDefault="00D303BF" w:rsidP="00DA52C7">
            <w:pPr>
              <w:pStyle w:val="Paragraphedeliste"/>
              <w:numPr>
                <w:ilvl w:val="0"/>
                <w:numId w:val="20"/>
              </w:numPr>
              <w:spacing w:line="240" w:lineRule="auto"/>
              <w:ind w:left="318" w:hanging="142"/>
              <w:jc w:val="both"/>
              <w:rPr>
                <w:rFonts w:ascii="Garamond" w:hAnsi="Garamond"/>
              </w:rPr>
            </w:pPr>
            <w:r w:rsidRPr="00D303BF">
              <w:rPr>
                <w:rFonts w:ascii="Garamond" w:hAnsi="Garamond"/>
              </w:rPr>
              <w:t>Empreinte carbone</w:t>
            </w:r>
          </w:p>
          <w:p w14:paraId="5909D794" w14:textId="0CFEEFDF" w:rsidR="00DA52C7" w:rsidRDefault="00DA52C7" w:rsidP="00DA52C7">
            <w:pPr>
              <w:pStyle w:val="Paragraphedeliste"/>
              <w:numPr>
                <w:ilvl w:val="0"/>
                <w:numId w:val="20"/>
              </w:numPr>
              <w:spacing w:line="240" w:lineRule="auto"/>
              <w:ind w:left="318" w:hanging="142"/>
              <w:jc w:val="both"/>
              <w:rPr>
                <w:rFonts w:ascii="Garamond" w:hAnsi="Garamond"/>
              </w:rPr>
            </w:pPr>
            <w:r w:rsidRPr="00DA52C7">
              <w:rPr>
                <w:rFonts w:ascii="Garamond" w:hAnsi="Garamond"/>
              </w:rPr>
              <w:t>Conformité avec les réglementations environnementales</w:t>
            </w:r>
          </w:p>
          <w:p w14:paraId="16372C68" w14:textId="529E2F53" w:rsidR="00D303BF" w:rsidRPr="00DA52C7" w:rsidRDefault="00D303BF" w:rsidP="00DA52C7">
            <w:pPr>
              <w:pStyle w:val="Paragraphedeliste"/>
              <w:numPr>
                <w:ilvl w:val="0"/>
                <w:numId w:val="20"/>
              </w:numPr>
              <w:spacing w:line="240" w:lineRule="auto"/>
              <w:ind w:left="318" w:hanging="142"/>
              <w:jc w:val="both"/>
              <w:rPr>
                <w:rFonts w:ascii="Garamond" w:hAnsi="Garamond"/>
              </w:rPr>
            </w:pPr>
            <w:r w:rsidRPr="00D303BF">
              <w:rPr>
                <w:rFonts w:ascii="Garamond" w:hAnsi="Garamond"/>
              </w:rPr>
              <w:t>Gestion des déchets</w:t>
            </w:r>
          </w:p>
        </w:tc>
        <w:tc>
          <w:tcPr>
            <w:tcW w:w="3021" w:type="dxa"/>
          </w:tcPr>
          <w:p w14:paraId="5DAF5FDB" w14:textId="6B613BA3" w:rsidR="00D303BF" w:rsidRDefault="00D303BF" w:rsidP="00D303BF">
            <w:pPr>
              <w:pStyle w:val="Paragraphedeliste"/>
              <w:numPr>
                <w:ilvl w:val="0"/>
                <w:numId w:val="20"/>
              </w:numPr>
              <w:spacing w:line="240" w:lineRule="auto"/>
              <w:ind w:left="270" w:hanging="141"/>
              <w:jc w:val="both"/>
              <w:rPr>
                <w:rFonts w:ascii="Garamond" w:hAnsi="Garamond"/>
              </w:rPr>
            </w:pPr>
            <w:r w:rsidRPr="00D303BF">
              <w:rPr>
                <w:rFonts w:ascii="Garamond" w:hAnsi="Garamond"/>
              </w:rPr>
              <w:t xml:space="preserve">Bien-être </w:t>
            </w:r>
            <w:r w:rsidR="00DA52C7">
              <w:rPr>
                <w:rFonts w:ascii="Garamond" w:hAnsi="Garamond"/>
              </w:rPr>
              <w:t>occupants</w:t>
            </w:r>
          </w:p>
          <w:p w14:paraId="0C39BE60" w14:textId="6681F85C" w:rsidR="00D90985" w:rsidRDefault="00D90985" w:rsidP="00D303BF">
            <w:pPr>
              <w:pStyle w:val="Paragraphedeliste"/>
              <w:numPr>
                <w:ilvl w:val="0"/>
                <w:numId w:val="20"/>
              </w:numPr>
              <w:spacing w:line="240" w:lineRule="auto"/>
              <w:ind w:left="270" w:hanging="141"/>
              <w:jc w:val="both"/>
              <w:rPr>
                <w:rFonts w:ascii="Garamond" w:hAnsi="Garamond"/>
              </w:rPr>
            </w:pPr>
            <w:r>
              <w:rPr>
                <w:rFonts w:ascii="Garamond" w:hAnsi="Garamond"/>
              </w:rPr>
              <w:t>A</w:t>
            </w:r>
            <w:r w:rsidRPr="00D90985">
              <w:rPr>
                <w:rFonts w:ascii="Garamond" w:hAnsi="Garamond"/>
              </w:rPr>
              <w:t>ccessibilité aux personnes handicapées</w:t>
            </w:r>
          </w:p>
          <w:p w14:paraId="794087E2" w14:textId="637C12CF" w:rsidR="00D90985" w:rsidRDefault="00D90985" w:rsidP="00D90985">
            <w:pPr>
              <w:pStyle w:val="Paragraphedeliste"/>
              <w:numPr>
                <w:ilvl w:val="0"/>
                <w:numId w:val="20"/>
              </w:numPr>
              <w:spacing w:line="240" w:lineRule="auto"/>
              <w:ind w:left="270" w:hanging="141"/>
              <w:jc w:val="both"/>
              <w:rPr>
                <w:rFonts w:ascii="Garamond" w:hAnsi="Garamond"/>
              </w:rPr>
            </w:pPr>
            <w:r>
              <w:rPr>
                <w:rFonts w:ascii="Garamond" w:hAnsi="Garamond"/>
              </w:rPr>
              <w:t>A</w:t>
            </w:r>
            <w:r w:rsidRPr="00D90985">
              <w:rPr>
                <w:rFonts w:ascii="Garamond" w:hAnsi="Garamond"/>
              </w:rPr>
              <w:t xml:space="preserve">ccessibilité aux </w:t>
            </w:r>
            <w:r>
              <w:rPr>
                <w:rFonts w:ascii="Garamond" w:hAnsi="Garamond"/>
              </w:rPr>
              <w:t>transports en commun</w:t>
            </w:r>
          </w:p>
          <w:p w14:paraId="3FEF2FFA" w14:textId="29EA8C2E" w:rsidR="00D303BF" w:rsidRPr="00D90985" w:rsidRDefault="00D303BF" w:rsidP="00D90985">
            <w:pPr>
              <w:pStyle w:val="Paragraphedeliste"/>
              <w:spacing w:line="240" w:lineRule="auto"/>
              <w:ind w:left="270"/>
              <w:jc w:val="both"/>
              <w:rPr>
                <w:rFonts w:ascii="Garamond" w:hAnsi="Garamond"/>
              </w:rPr>
            </w:pPr>
          </w:p>
        </w:tc>
        <w:tc>
          <w:tcPr>
            <w:tcW w:w="3021" w:type="dxa"/>
          </w:tcPr>
          <w:p w14:paraId="126541E4" w14:textId="19FA24E0" w:rsidR="00D303BF" w:rsidRPr="00D303BF" w:rsidRDefault="00F57EE0" w:rsidP="00D303BF">
            <w:pPr>
              <w:pStyle w:val="Paragraphedeliste"/>
              <w:numPr>
                <w:ilvl w:val="0"/>
                <w:numId w:val="20"/>
              </w:numPr>
              <w:spacing w:line="240" w:lineRule="auto"/>
              <w:ind w:left="223" w:hanging="142"/>
              <w:jc w:val="both"/>
              <w:rPr>
                <w:rFonts w:ascii="Garamond" w:hAnsi="Garamond"/>
              </w:rPr>
            </w:pPr>
            <w:r>
              <w:rPr>
                <w:rFonts w:ascii="Garamond" w:hAnsi="Garamond"/>
              </w:rPr>
              <w:t>R</w:t>
            </w:r>
            <w:r w:rsidRPr="00F57EE0">
              <w:rPr>
                <w:rFonts w:ascii="Garamond" w:hAnsi="Garamond"/>
              </w:rPr>
              <w:t>elation avec les prestataires de service</w:t>
            </w:r>
            <w:r w:rsidRPr="00F57EE0">
              <w:rPr>
                <w:rFonts w:ascii="Garamond" w:hAnsi="Garamond"/>
              </w:rPr>
              <w:t xml:space="preserve"> </w:t>
            </w:r>
            <w:r w:rsidR="00D90985">
              <w:rPr>
                <w:rFonts w:ascii="Garamond" w:hAnsi="Garamond"/>
              </w:rPr>
              <w:t>Sensibilisation des locataires</w:t>
            </w:r>
          </w:p>
        </w:tc>
      </w:tr>
    </w:tbl>
    <w:p w14:paraId="2489EEBD" w14:textId="77777777" w:rsidR="00D303BF" w:rsidRPr="00D303BF" w:rsidRDefault="00D303BF" w:rsidP="00D303BF">
      <w:pPr>
        <w:spacing w:after="0" w:line="240" w:lineRule="auto"/>
        <w:jc w:val="both"/>
        <w:rPr>
          <w:rFonts w:ascii="Garamond" w:hAnsi="Garamond"/>
        </w:rPr>
      </w:pPr>
    </w:p>
    <w:p w14:paraId="211452FC" w14:textId="182E6BBD" w:rsidR="00B169F7" w:rsidRDefault="00D303BF" w:rsidP="00D303BF">
      <w:pPr>
        <w:jc w:val="both"/>
        <w:rPr>
          <w:rFonts w:ascii="Garamond" w:hAnsi="Garamond"/>
        </w:rPr>
      </w:pPr>
      <w:r w:rsidRPr="00D303BF">
        <w:rPr>
          <w:rFonts w:ascii="Garamond" w:hAnsi="Garamond"/>
        </w:rPr>
        <w:t xml:space="preserve">Pour autant et dans la mesure où ces critères ESG, d’une part, ne sont pas systématiquement utilisés </w:t>
      </w:r>
      <w:r w:rsidRPr="00B169F7">
        <w:rPr>
          <w:rFonts w:ascii="Garamond" w:hAnsi="Garamond"/>
        </w:rPr>
        <w:t xml:space="preserve">par </w:t>
      </w:r>
      <w:r w:rsidR="0088554E" w:rsidRPr="00B169F7">
        <w:rPr>
          <w:rFonts w:ascii="Garamond" w:hAnsi="Garamond"/>
        </w:rPr>
        <w:t>INOVALIS S.A.</w:t>
      </w:r>
      <w:r w:rsidRPr="00B169F7">
        <w:rPr>
          <w:rFonts w:ascii="Garamond" w:hAnsi="Garamond"/>
        </w:rPr>
        <w:t xml:space="preserve"> dans ses stratégies d’investissement, d’autre part, ne sont pas alignés sur ceux de l’Union européenne en matière économiques durables sur le plan environnemental, </w:t>
      </w:r>
      <w:r w:rsidR="0088554E" w:rsidRPr="00B169F7">
        <w:rPr>
          <w:rFonts w:ascii="Garamond" w:hAnsi="Garamond"/>
        </w:rPr>
        <w:t>INOVALIS S.A.</w:t>
      </w:r>
      <w:r w:rsidRPr="00B169F7">
        <w:rPr>
          <w:rFonts w:ascii="Garamond" w:hAnsi="Garamond"/>
        </w:rPr>
        <w:t xml:space="preserve"> n’a pas encore formalisé une politique interne dédiée à la thématique de l’ESG.</w:t>
      </w:r>
      <w:r w:rsidR="00B169F7" w:rsidRPr="00B169F7">
        <w:rPr>
          <w:rFonts w:ascii="Garamond" w:hAnsi="Garamond"/>
        </w:rPr>
        <w:t xml:space="preserve"> </w:t>
      </w:r>
      <w:r w:rsidRPr="00B169F7">
        <w:rPr>
          <w:rFonts w:ascii="Garamond" w:hAnsi="Garamond"/>
        </w:rPr>
        <w:t xml:space="preserve">Par ailleurs, </w:t>
      </w:r>
      <w:r w:rsidR="0088554E" w:rsidRPr="00B169F7">
        <w:rPr>
          <w:rFonts w:ascii="Garamond" w:hAnsi="Garamond"/>
        </w:rPr>
        <w:t>INOVALIS S.A.</w:t>
      </w:r>
      <w:r w:rsidRPr="00B169F7">
        <w:rPr>
          <w:rFonts w:ascii="Garamond" w:hAnsi="Garamond"/>
        </w:rPr>
        <w:t xml:space="preserve"> a fait le choix de se soumettre elle-même, sur base volontaire, à plusieurs </w:t>
      </w:r>
      <w:r w:rsidRPr="00B169F7">
        <w:rPr>
          <w:rFonts w:ascii="Garamond" w:hAnsi="Garamond"/>
        </w:rPr>
        <w:lastRenderedPageBreak/>
        <w:t xml:space="preserve">obligations en matière ESG. Celles-ci ont, soit été définies par la société, soit été définies au niveau de son groupe d’appartenance. </w:t>
      </w:r>
    </w:p>
    <w:p w14:paraId="47E7E97B" w14:textId="77777777" w:rsidR="001925B4" w:rsidRDefault="001925B4" w:rsidP="00D303BF">
      <w:pPr>
        <w:jc w:val="both"/>
        <w:rPr>
          <w:rFonts w:ascii="Garamond" w:hAnsi="Garamond"/>
          <w:highlight w:val="yellow"/>
        </w:rPr>
      </w:pPr>
    </w:p>
    <w:p w14:paraId="64F8730D" w14:textId="275145D2" w:rsidR="00D303BF" w:rsidRPr="00D303BF" w:rsidRDefault="00D303BF" w:rsidP="00D303BF">
      <w:pPr>
        <w:pStyle w:val="Titre2"/>
      </w:pPr>
      <w:bookmarkStart w:id="2" w:name="_Toc139619597"/>
      <w:r w:rsidRPr="00D303BF">
        <w:t>1.</w:t>
      </w:r>
      <w:r w:rsidR="00F87AA2">
        <w:t>3 -</w:t>
      </w:r>
      <w:r w:rsidRPr="00D303BF">
        <w:t xml:space="preserve"> Reportings extra-financiers à l’attention de la clientèle des fonds gérés par </w:t>
      </w:r>
      <w:r w:rsidR="0088554E">
        <w:t>INOVALIS S.A.</w:t>
      </w:r>
      <w:bookmarkEnd w:id="2"/>
    </w:p>
    <w:p w14:paraId="2A62B1C2" w14:textId="77777777" w:rsidR="00D303BF" w:rsidRPr="00D303BF" w:rsidRDefault="00D303BF" w:rsidP="00D303BF">
      <w:pPr>
        <w:spacing w:after="0" w:line="240" w:lineRule="auto"/>
        <w:jc w:val="both"/>
        <w:rPr>
          <w:rFonts w:ascii="Garamond" w:hAnsi="Garamond"/>
          <w:b/>
          <w:bCs/>
        </w:rPr>
      </w:pPr>
    </w:p>
    <w:p w14:paraId="274A38DE" w14:textId="55227A4C" w:rsidR="00D303BF" w:rsidRPr="00D303BF" w:rsidRDefault="00D303BF" w:rsidP="00D303BF">
      <w:pPr>
        <w:spacing w:after="0" w:line="240" w:lineRule="auto"/>
        <w:jc w:val="both"/>
        <w:rPr>
          <w:rFonts w:ascii="Garamond" w:hAnsi="Garamond"/>
        </w:rPr>
      </w:pPr>
      <w:r w:rsidRPr="00D303BF">
        <w:rPr>
          <w:rFonts w:ascii="Garamond" w:hAnsi="Garamond"/>
        </w:rPr>
        <w:t>Tout au long de l’exercice 202</w:t>
      </w:r>
      <w:r w:rsidR="004825B6">
        <w:rPr>
          <w:rFonts w:ascii="Garamond" w:hAnsi="Garamond"/>
        </w:rPr>
        <w:t>2</w:t>
      </w:r>
      <w:r w:rsidRPr="00D303BF">
        <w:rPr>
          <w:rFonts w:ascii="Garamond" w:hAnsi="Garamond"/>
        </w:rPr>
        <w:t xml:space="preserve">, </w:t>
      </w:r>
      <w:r w:rsidR="0088554E">
        <w:rPr>
          <w:rFonts w:ascii="Garamond" w:hAnsi="Garamond"/>
        </w:rPr>
        <w:t>INOVALIS S.A.</w:t>
      </w:r>
      <w:r w:rsidRPr="00D303BF">
        <w:rPr>
          <w:rFonts w:ascii="Garamond" w:hAnsi="Garamond"/>
        </w:rPr>
        <w:t xml:space="preserve"> a respecté l’ensemble de ses obligations de transparence à l’égard de s</w:t>
      </w:r>
      <w:r w:rsidR="004825B6">
        <w:rPr>
          <w:rFonts w:ascii="Garamond" w:hAnsi="Garamond"/>
        </w:rPr>
        <w:t>es investisseurs</w:t>
      </w:r>
      <w:r w:rsidRPr="00D303BF">
        <w:rPr>
          <w:rFonts w:ascii="Garamond" w:hAnsi="Garamond"/>
        </w:rPr>
        <w:t>. Cette démarche de communication est d’ailleurs essentielle dans l’instauration et le maintien de la relation de confiance que la société entretient avec les clients de son groupe d’appartenance.</w:t>
      </w:r>
    </w:p>
    <w:p w14:paraId="65746ADF" w14:textId="77777777" w:rsidR="00D303BF" w:rsidRPr="00D303BF" w:rsidRDefault="00D303BF" w:rsidP="00D303BF">
      <w:pPr>
        <w:spacing w:after="0" w:line="240" w:lineRule="auto"/>
        <w:jc w:val="both"/>
        <w:rPr>
          <w:rFonts w:ascii="Garamond" w:hAnsi="Garamond"/>
        </w:rPr>
      </w:pPr>
    </w:p>
    <w:p w14:paraId="3E34DF21" w14:textId="26BA9FC9" w:rsidR="00D303BF" w:rsidRPr="00D303BF" w:rsidRDefault="00D303BF" w:rsidP="00D303BF">
      <w:pPr>
        <w:spacing w:after="0" w:line="240" w:lineRule="auto"/>
        <w:jc w:val="both"/>
        <w:rPr>
          <w:rFonts w:ascii="Garamond" w:hAnsi="Garamond"/>
        </w:rPr>
      </w:pPr>
      <w:r w:rsidRPr="00D303BF">
        <w:rPr>
          <w:rFonts w:ascii="Garamond" w:hAnsi="Garamond"/>
        </w:rPr>
        <w:t xml:space="preserve">A ce titre, </w:t>
      </w:r>
      <w:r w:rsidR="0088554E">
        <w:rPr>
          <w:rFonts w:ascii="Garamond" w:hAnsi="Garamond"/>
        </w:rPr>
        <w:t>INOVALIS S.A.</w:t>
      </w:r>
      <w:r w:rsidRPr="00D303BF">
        <w:rPr>
          <w:rFonts w:ascii="Garamond" w:hAnsi="Garamond"/>
        </w:rPr>
        <w:t xml:space="preserve"> a publié sur son site internet l’ensemble des publications réglementaires auxquelles elle est assujettie au titre de ses obligations </w:t>
      </w:r>
      <w:r w:rsidRPr="004825B6">
        <w:rPr>
          <w:rFonts w:ascii="Garamond" w:hAnsi="Garamond"/>
        </w:rPr>
        <w:t>en lien avec la thématique de la finance durable et conformément à la catégorisation des OPC qu’elle</w:t>
      </w:r>
      <w:r w:rsidRPr="00D303BF">
        <w:rPr>
          <w:rFonts w:ascii="Garamond" w:hAnsi="Garamond"/>
        </w:rPr>
        <w:t xml:space="preserve"> gère à la lumière de la réglementation européenne. </w:t>
      </w:r>
      <w:r w:rsidR="0088554E">
        <w:rPr>
          <w:rFonts w:ascii="Garamond" w:hAnsi="Garamond"/>
        </w:rPr>
        <w:t>INOVALIS S.A.</w:t>
      </w:r>
      <w:r w:rsidRPr="00D303BF">
        <w:rPr>
          <w:rFonts w:ascii="Garamond" w:hAnsi="Garamond"/>
        </w:rPr>
        <w:t xml:space="preserve"> n’est pas assujettie à certaines obligations de reporting extra-financiers en raison du fait qu’elle se situe en dessous de seuils d’application de nature réglementaire.</w:t>
      </w:r>
    </w:p>
    <w:p w14:paraId="3D02EDBA" w14:textId="77777777" w:rsidR="00D303BF" w:rsidRPr="002B4F61" w:rsidRDefault="00D303BF" w:rsidP="002B4F61">
      <w:pPr>
        <w:spacing w:after="0" w:line="240" w:lineRule="auto"/>
        <w:jc w:val="both"/>
        <w:rPr>
          <w:rFonts w:ascii="Garamond" w:hAnsi="Garamond" w:cstheme="minorHAnsi"/>
        </w:rPr>
      </w:pPr>
    </w:p>
    <w:p w14:paraId="3466C260" w14:textId="3399A355" w:rsidR="00D303BF" w:rsidRPr="00D303BF" w:rsidRDefault="00D65E3C" w:rsidP="00D65E3C">
      <w:pPr>
        <w:pStyle w:val="Titre1"/>
        <w:numPr>
          <w:ilvl w:val="0"/>
          <w:numId w:val="37"/>
        </w:numPr>
        <w:jc w:val="both"/>
      </w:pPr>
      <w:bookmarkStart w:id="3" w:name="_Toc139619598"/>
      <w:r w:rsidRPr="00D65E3C">
        <w:t>Moyens internes déployés par l’entité</w:t>
      </w:r>
      <w:bookmarkEnd w:id="3"/>
    </w:p>
    <w:p w14:paraId="653BB37D" w14:textId="77777777" w:rsidR="00D303BF" w:rsidRPr="00D303BF" w:rsidRDefault="00D303BF" w:rsidP="00D303BF">
      <w:pPr>
        <w:pStyle w:val="Titre2"/>
      </w:pPr>
    </w:p>
    <w:p w14:paraId="3E61C1B7" w14:textId="1A3520DF" w:rsidR="00D303BF" w:rsidRPr="00D303BF" w:rsidRDefault="00D303BF" w:rsidP="00D303BF">
      <w:pPr>
        <w:pStyle w:val="Titre2"/>
      </w:pPr>
      <w:bookmarkStart w:id="4" w:name="_Toc139619599"/>
      <w:r w:rsidRPr="00D303BF">
        <w:t>2.1</w:t>
      </w:r>
      <w:r w:rsidR="00F87AA2">
        <w:t xml:space="preserve"> -</w:t>
      </w:r>
      <w:r w:rsidRPr="00D303BF">
        <w:t xml:space="preserve"> Description des ressources financières, humaines et techniques dédiées à l’ESG au sein d’</w:t>
      </w:r>
      <w:r w:rsidR="0088554E">
        <w:t>INOVALIS S.A.</w:t>
      </w:r>
      <w:bookmarkEnd w:id="4"/>
    </w:p>
    <w:p w14:paraId="47515442" w14:textId="77777777" w:rsidR="00D303BF" w:rsidRPr="00D303BF" w:rsidRDefault="00D303BF" w:rsidP="00D303BF">
      <w:pPr>
        <w:spacing w:after="0" w:line="240" w:lineRule="auto"/>
        <w:jc w:val="both"/>
        <w:rPr>
          <w:rFonts w:ascii="Garamond" w:hAnsi="Garamond" w:cstheme="minorHAnsi"/>
          <w:b/>
          <w:bCs/>
        </w:rPr>
      </w:pPr>
    </w:p>
    <w:p w14:paraId="6E074371" w14:textId="668F4C07" w:rsidR="00D303BF" w:rsidRPr="00D303BF" w:rsidRDefault="00D303BF" w:rsidP="00D303BF">
      <w:pPr>
        <w:spacing w:after="0" w:line="240" w:lineRule="auto"/>
        <w:jc w:val="both"/>
        <w:rPr>
          <w:rFonts w:ascii="Garamond" w:hAnsi="Garamond" w:cstheme="minorHAnsi"/>
        </w:rPr>
      </w:pPr>
      <w:r w:rsidRPr="00D303BF">
        <w:rPr>
          <w:rFonts w:ascii="Garamond" w:hAnsi="Garamond" w:cstheme="minorHAnsi"/>
        </w:rPr>
        <w:t xml:space="preserve">L’équipe de gestion de </w:t>
      </w:r>
      <w:r w:rsidR="0088554E">
        <w:rPr>
          <w:rFonts w:ascii="Garamond" w:hAnsi="Garamond" w:cstheme="minorHAnsi"/>
        </w:rPr>
        <w:t>INOVALIS S.A.</w:t>
      </w:r>
      <w:r w:rsidRPr="00D303BF">
        <w:rPr>
          <w:rFonts w:ascii="Garamond" w:hAnsi="Garamond" w:cstheme="minorHAnsi"/>
        </w:rPr>
        <w:t xml:space="preserve"> est constituée de </w:t>
      </w:r>
      <w:r w:rsidR="00D65E3C">
        <w:rPr>
          <w:rFonts w:ascii="Garamond" w:hAnsi="Garamond" w:cstheme="minorHAnsi"/>
        </w:rPr>
        <w:t>trois</w:t>
      </w:r>
      <w:r w:rsidRPr="00D303BF">
        <w:rPr>
          <w:rFonts w:ascii="Garamond" w:hAnsi="Garamond" w:cstheme="minorHAnsi"/>
        </w:rPr>
        <w:t xml:space="preserve"> gérants financiers. L’équipe de gestion de </w:t>
      </w:r>
      <w:r w:rsidR="0088554E">
        <w:rPr>
          <w:rFonts w:ascii="Garamond" w:hAnsi="Garamond" w:cstheme="minorHAnsi"/>
        </w:rPr>
        <w:t>INOVALIS S.A.</w:t>
      </w:r>
      <w:r w:rsidRPr="00D303BF">
        <w:rPr>
          <w:rFonts w:ascii="Garamond" w:hAnsi="Garamond" w:cstheme="minorHAnsi"/>
        </w:rPr>
        <w:t xml:space="preserve"> prend ses décisions d’investissement et de désinvestissement en tenant compte de critères financiers et extra-financiers, lorsque ces derniers sont pertinents. </w:t>
      </w:r>
      <w:r w:rsidR="0088554E">
        <w:rPr>
          <w:rFonts w:ascii="Garamond" w:hAnsi="Garamond" w:cstheme="minorHAnsi"/>
        </w:rPr>
        <w:t>INOVALIS S.A.</w:t>
      </w:r>
      <w:r w:rsidRPr="00D303BF">
        <w:rPr>
          <w:rFonts w:ascii="Garamond" w:hAnsi="Garamond" w:cstheme="minorHAnsi"/>
        </w:rPr>
        <w:t xml:space="preserve"> ne dispose pas d’une équipe dédiée à la prise en compte des critères ESG dans ses stratégies d’investissement mises en œuvre pour le compte de ses OPCI sous gestion.</w:t>
      </w:r>
      <w:r w:rsidR="00F57EE0">
        <w:rPr>
          <w:rFonts w:ascii="Garamond" w:hAnsi="Garamond" w:cstheme="minorHAnsi"/>
        </w:rPr>
        <w:t xml:space="preserve"> La société de gestion peut cependant s’appuyer sur l’expertise d’un service Développement Durable se saisissant des sujet</w:t>
      </w:r>
      <w:r w:rsidR="00B804A5">
        <w:rPr>
          <w:rFonts w:ascii="Garamond" w:hAnsi="Garamond" w:cstheme="minorHAnsi"/>
        </w:rPr>
        <w:t>s</w:t>
      </w:r>
      <w:r w:rsidR="00F57EE0">
        <w:rPr>
          <w:rFonts w:ascii="Garamond" w:hAnsi="Garamond" w:cstheme="minorHAnsi"/>
        </w:rPr>
        <w:t xml:space="preserve"> relatifs à l’ESG dans l’ensemble du groupe. </w:t>
      </w:r>
    </w:p>
    <w:p w14:paraId="27B3497A" w14:textId="77777777" w:rsidR="00D303BF" w:rsidRPr="00D303BF" w:rsidRDefault="00D303BF" w:rsidP="00D303BF">
      <w:pPr>
        <w:spacing w:after="0" w:line="240" w:lineRule="auto"/>
        <w:jc w:val="both"/>
        <w:rPr>
          <w:rFonts w:ascii="Garamond" w:hAnsi="Garamond" w:cstheme="minorHAnsi"/>
        </w:rPr>
      </w:pPr>
    </w:p>
    <w:p w14:paraId="241697E0" w14:textId="5640361F" w:rsidR="00D303BF" w:rsidRPr="00D303BF" w:rsidRDefault="00D303BF" w:rsidP="00D303BF">
      <w:pPr>
        <w:spacing w:after="0" w:line="240" w:lineRule="auto"/>
        <w:jc w:val="both"/>
        <w:rPr>
          <w:rFonts w:ascii="Garamond" w:hAnsi="Garamond" w:cstheme="minorHAnsi"/>
        </w:rPr>
      </w:pPr>
      <w:r w:rsidRPr="00D303BF">
        <w:rPr>
          <w:rFonts w:ascii="Garamond" w:hAnsi="Garamond" w:cstheme="minorHAnsi"/>
        </w:rPr>
        <w:t xml:space="preserve">Toutefois, en fonction des besoins qu’elle a préalablement identifiés et au cas par cas, </w:t>
      </w:r>
      <w:r w:rsidR="0088554E">
        <w:rPr>
          <w:rFonts w:ascii="Garamond" w:hAnsi="Garamond" w:cstheme="minorHAnsi"/>
        </w:rPr>
        <w:t>INOVALIS S.A.</w:t>
      </w:r>
      <w:r w:rsidRPr="00D303BF">
        <w:rPr>
          <w:rFonts w:ascii="Garamond" w:hAnsi="Garamond" w:cstheme="minorHAnsi"/>
        </w:rPr>
        <w:t xml:space="preserve"> peut être amenée à sélectionner puis à faire appel à des conseils externes spécialisés dans les aspects ESG pour l’appuyer dans la réalisation de certaines tâches spécifiques, telles que les suivantes :</w:t>
      </w:r>
    </w:p>
    <w:p w14:paraId="11CD3BF4" w14:textId="77777777" w:rsidR="00D303BF" w:rsidRPr="00D303BF" w:rsidRDefault="00D303BF" w:rsidP="00D303BF">
      <w:pPr>
        <w:spacing w:after="0" w:line="240" w:lineRule="auto"/>
        <w:jc w:val="both"/>
        <w:rPr>
          <w:rFonts w:ascii="Garamond" w:hAnsi="Garamond" w:cstheme="minorHAnsi"/>
        </w:rPr>
      </w:pPr>
    </w:p>
    <w:p w14:paraId="0981AF60" w14:textId="77777777" w:rsidR="00D303BF" w:rsidRPr="00D303BF" w:rsidRDefault="00D303BF" w:rsidP="00D303BF">
      <w:pPr>
        <w:pStyle w:val="Paragraphedeliste"/>
        <w:numPr>
          <w:ilvl w:val="0"/>
          <w:numId w:val="15"/>
        </w:numPr>
        <w:spacing w:after="0" w:line="240" w:lineRule="auto"/>
        <w:jc w:val="both"/>
        <w:rPr>
          <w:rFonts w:ascii="Garamond" w:hAnsi="Garamond" w:cstheme="minorHAnsi"/>
        </w:rPr>
      </w:pPr>
      <w:r w:rsidRPr="00D303BF">
        <w:rPr>
          <w:rFonts w:ascii="Garamond" w:hAnsi="Garamond" w:cstheme="minorHAnsi"/>
        </w:rPr>
        <w:t>accompagnement pour déterminer une stratégie - actif par actif - de rénovation et d’amélioration de la performance énergétique des actifs immobiliers en vue de se conformer aux dispositions du décret n°2019-771 du 23 juillet 2019 relatif aux obligations d’actions de réduction de la consommation d’énergie finale dans des bâtiments à usage tertiaire (« </w:t>
      </w:r>
      <w:r w:rsidRPr="00D303BF">
        <w:rPr>
          <w:rFonts w:ascii="Garamond" w:hAnsi="Garamond" w:cstheme="minorHAnsi"/>
          <w:b/>
          <w:bCs/>
        </w:rPr>
        <w:t>Décret tertiaire</w:t>
      </w:r>
      <w:r w:rsidRPr="00D303BF">
        <w:rPr>
          <w:rFonts w:ascii="Garamond" w:hAnsi="Garamond" w:cstheme="minorHAnsi"/>
        </w:rPr>
        <w:t> ») et à la trajectoire de décarbonisation induite par une diminution progressive des émissions de gaz à effet de serre découlant directement de l’application des Accords de Paris ;</w:t>
      </w:r>
    </w:p>
    <w:p w14:paraId="4F319E09" w14:textId="77777777" w:rsidR="00D303BF" w:rsidRPr="00D303BF" w:rsidRDefault="00D303BF" w:rsidP="00D303BF">
      <w:pPr>
        <w:pStyle w:val="Paragraphedeliste"/>
        <w:spacing w:after="0" w:line="240" w:lineRule="auto"/>
        <w:jc w:val="both"/>
        <w:rPr>
          <w:rFonts w:ascii="Garamond" w:hAnsi="Garamond" w:cstheme="minorHAnsi"/>
        </w:rPr>
      </w:pPr>
    </w:p>
    <w:p w14:paraId="3D88A6E5" w14:textId="6D87619F" w:rsidR="00D303BF" w:rsidRPr="00D303BF" w:rsidRDefault="00D303BF" w:rsidP="00D303BF">
      <w:pPr>
        <w:pStyle w:val="Paragraphedeliste"/>
        <w:numPr>
          <w:ilvl w:val="0"/>
          <w:numId w:val="15"/>
        </w:numPr>
        <w:spacing w:after="0" w:line="240" w:lineRule="auto"/>
        <w:jc w:val="both"/>
        <w:rPr>
          <w:rFonts w:ascii="Garamond" w:hAnsi="Garamond" w:cstheme="minorHAnsi"/>
        </w:rPr>
      </w:pPr>
      <w:proofErr w:type="gramStart"/>
      <w:r w:rsidRPr="00D303BF">
        <w:rPr>
          <w:rFonts w:ascii="Garamond" w:hAnsi="Garamond" w:cstheme="minorHAnsi"/>
        </w:rPr>
        <w:t>accompagnement</w:t>
      </w:r>
      <w:proofErr w:type="gramEnd"/>
      <w:r w:rsidR="001925B4">
        <w:rPr>
          <w:rFonts w:ascii="Garamond" w:hAnsi="Garamond" w:cstheme="minorHAnsi"/>
        </w:rPr>
        <w:t xml:space="preserve"> </w:t>
      </w:r>
      <w:r w:rsidRPr="00D303BF">
        <w:rPr>
          <w:rFonts w:ascii="Garamond" w:hAnsi="Garamond" w:cstheme="minorHAnsi"/>
        </w:rPr>
        <w:t>visant à améliorer, de façon continue, les performances environnementales des actifs immobiliers détenus par les OPCI gérés, dans le contexte des certification</w:t>
      </w:r>
      <w:r w:rsidR="00D65E3C">
        <w:rPr>
          <w:rFonts w:ascii="Garamond" w:hAnsi="Garamond" w:cstheme="minorHAnsi"/>
        </w:rPr>
        <w:t>s</w:t>
      </w:r>
      <w:r w:rsidRPr="00D303BF">
        <w:rPr>
          <w:rFonts w:ascii="Garamond" w:hAnsi="Garamond" w:cstheme="minorHAnsi"/>
        </w:rPr>
        <w:t> obtenues ;</w:t>
      </w:r>
    </w:p>
    <w:p w14:paraId="3E77810C" w14:textId="77777777" w:rsidR="00D303BF" w:rsidRPr="00D303BF" w:rsidRDefault="00D303BF" w:rsidP="00D303BF">
      <w:pPr>
        <w:spacing w:after="0" w:line="240" w:lineRule="auto"/>
        <w:jc w:val="both"/>
        <w:rPr>
          <w:rFonts w:ascii="Garamond" w:hAnsi="Garamond" w:cstheme="minorHAnsi"/>
        </w:rPr>
      </w:pPr>
    </w:p>
    <w:p w14:paraId="099E8BBE" w14:textId="202840AD" w:rsidR="00D303BF" w:rsidRPr="00D303BF" w:rsidRDefault="00D303BF" w:rsidP="00D303BF">
      <w:pPr>
        <w:pStyle w:val="Paragraphedeliste"/>
        <w:numPr>
          <w:ilvl w:val="0"/>
          <w:numId w:val="15"/>
        </w:numPr>
        <w:spacing w:after="0" w:line="240" w:lineRule="auto"/>
        <w:jc w:val="both"/>
        <w:rPr>
          <w:rFonts w:ascii="Garamond" w:hAnsi="Garamond" w:cstheme="minorHAnsi"/>
        </w:rPr>
      </w:pPr>
      <w:proofErr w:type="gramStart"/>
      <w:r w:rsidRPr="00D303BF">
        <w:rPr>
          <w:rFonts w:ascii="Garamond" w:hAnsi="Garamond" w:cstheme="minorHAnsi"/>
        </w:rPr>
        <w:lastRenderedPageBreak/>
        <w:t>accompagnement</w:t>
      </w:r>
      <w:proofErr w:type="gramEnd"/>
      <w:r w:rsidR="001925B4">
        <w:rPr>
          <w:rFonts w:ascii="Garamond" w:hAnsi="Garamond" w:cstheme="minorHAnsi"/>
        </w:rPr>
        <w:t xml:space="preserve"> </w:t>
      </w:r>
      <w:r w:rsidRPr="00D303BF">
        <w:rPr>
          <w:rFonts w:ascii="Garamond" w:hAnsi="Garamond" w:cstheme="minorHAnsi"/>
        </w:rPr>
        <w:t>dans la mise en place de métrologies (i.e. principes et méthodes permettant de mesurer la consommation énergétique des actifs immobiliers détenus par les OPCI gérés) et dans la détermination de pistes d’amélioration en vue de diminuer ces consommations.</w:t>
      </w:r>
    </w:p>
    <w:p w14:paraId="2263BE75" w14:textId="77777777" w:rsidR="00D303BF" w:rsidRPr="00D303BF" w:rsidRDefault="00D303BF" w:rsidP="00D303BF">
      <w:pPr>
        <w:spacing w:after="0" w:line="240" w:lineRule="auto"/>
        <w:jc w:val="both"/>
        <w:rPr>
          <w:rFonts w:ascii="Garamond" w:hAnsi="Garamond" w:cstheme="minorHAnsi"/>
        </w:rPr>
      </w:pPr>
    </w:p>
    <w:p w14:paraId="7D06D866" w14:textId="24C4A020" w:rsidR="00D303BF" w:rsidRPr="00D303BF" w:rsidRDefault="00D303BF" w:rsidP="00D65E3C">
      <w:pPr>
        <w:spacing w:after="0" w:line="240" w:lineRule="auto"/>
        <w:jc w:val="both"/>
        <w:rPr>
          <w:rFonts w:ascii="Garamond" w:hAnsi="Garamond" w:cstheme="minorHAnsi"/>
        </w:rPr>
      </w:pPr>
      <w:r w:rsidRPr="00D303BF">
        <w:rPr>
          <w:rFonts w:ascii="Garamond" w:hAnsi="Garamond" w:cstheme="minorHAnsi"/>
        </w:rPr>
        <w:t>Le nombre et le profil des intervenants externes sollicités ainsi que l’étendue des périmètres d’intervention et des budgets dédiés à ces missions ponctuelles peut être amené à varier.</w:t>
      </w:r>
    </w:p>
    <w:p w14:paraId="0AA8AA8F" w14:textId="77777777" w:rsidR="00D303BF" w:rsidRPr="00D303BF" w:rsidRDefault="00D303BF" w:rsidP="00D303BF">
      <w:pPr>
        <w:spacing w:after="0" w:line="240" w:lineRule="auto"/>
        <w:jc w:val="both"/>
        <w:rPr>
          <w:rFonts w:ascii="Garamond" w:hAnsi="Garamond" w:cstheme="minorHAnsi"/>
        </w:rPr>
      </w:pPr>
    </w:p>
    <w:p w14:paraId="03A3D9D7" w14:textId="3B6E77DC" w:rsidR="00D303BF" w:rsidRPr="00D303BF" w:rsidRDefault="00D303BF" w:rsidP="00D303BF">
      <w:pPr>
        <w:pStyle w:val="Titre2"/>
      </w:pPr>
      <w:bookmarkStart w:id="5" w:name="_Toc139619600"/>
      <w:r w:rsidRPr="00D303BF">
        <w:t xml:space="preserve">2.2 </w:t>
      </w:r>
      <w:r w:rsidR="00F87AA2">
        <w:t xml:space="preserve">- </w:t>
      </w:r>
      <w:r w:rsidRPr="00D303BF">
        <w:t>Actions menées en vue d’un renforcement des capacités internes de</w:t>
      </w:r>
      <w:r w:rsidR="001925B4">
        <w:t xml:space="preserve"> </w:t>
      </w:r>
      <w:r w:rsidR="0088554E">
        <w:t>INOVALIS S.A.</w:t>
      </w:r>
      <w:bookmarkEnd w:id="5"/>
    </w:p>
    <w:p w14:paraId="3FE8AED3" w14:textId="77777777" w:rsidR="00D303BF" w:rsidRPr="00D303BF" w:rsidRDefault="00D303BF" w:rsidP="00D303BF">
      <w:pPr>
        <w:spacing w:after="0" w:line="240" w:lineRule="auto"/>
        <w:jc w:val="both"/>
        <w:rPr>
          <w:rFonts w:ascii="Garamond" w:hAnsi="Garamond" w:cstheme="minorHAnsi"/>
        </w:rPr>
      </w:pPr>
    </w:p>
    <w:p w14:paraId="5C87A473" w14:textId="33837CDF" w:rsidR="00D303BF" w:rsidRPr="00D303BF" w:rsidRDefault="0088554E" w:rsidP="00D303BF">
      <w:pPr>
        <w:spacing w:after="0" w:line="240" w:lineRule="auto"/>
        <w:jc w:val="both"/>
        <w:rPr>
          <w:rFonts w:ascii="Garamond" w:hAnsi="Garamond" w:cstheme="minorHAnsi"/>
        </w:rPr>
      </w:pPr>
      <w:r>
        <w:rPr>
          <w:rFonts w:ascii="Garamond" w:hAnsi="Garamond" w:cstheme="minorHAnsi"/>
        </w:rPr>
        <w:t>INOVALIS S.A.</w:t>
      </w:r>
      <w:r w:rsidR="00D303BF" w:rsidRPr="00D303BF">
        <w:rPr>
          <w:rFonts w:ascii="Garamond" w:hAnsi="Garamond" w:cstheme="minorHAnsi"/>
        </w:rPr>
        <w:t xml:space="preserve"> mène des réflexions constantes sur sa capacité à faire évoluer, à l’avenir, ses capacités internes en vue de renforcer sa stratégie ESG, de développer les compétences et les connaissances de ses équipes techniques et de se tenir à jour de la réglementation qui lui est applicable.</w:t>
      </w:r>
    </w:p>
    <w:p w14:paraId="5ABCBAC6" w14:textId="0DF3DD21" w:rsidR="00D303BF" w:rsidRDefault="00D303BF" w:rsidP="00D303BF">
      <w:pPr>
        <w:spacing w:after="0" w:line="240" w:lineRule="auto"/>
        <w:jc w:val="both"/>
        <w:rPr>
          <w:rFonts w:ascii="Garamond" w:hAnsi="Garamond" w:cstheme="minorHAnsi"/>
        </w:rPr>
      </w:pPr>
    </w:p>
    <w:p w14:paraId="037EB847" w14:textId="51687E0A" w:rsidR="009018F6" w:rsidRDefault="009018F6" w:rsidP="00D303BF">
      <w:pPr>
        <w:spacing w:after="0" w:line="240" w:lineRule="auto"/>
        <w:jc w:val="both"/>
        <w:rPr>
          <w:rFonts w:ascii="Garamond" w:hAnsi="Garamond" w:cstheme="minorHAnsi"/>
        </w:rPr>
      </w:pPr>
      <w:r>
        <w:rPr>
          <w:rFonts w:ascii="Garamond" w:hAnsi="Garamond" w:cstheme="minorHAnsi"/>
        </w:rPr>
        <w:t>En 2022, un collaborateur</w:t>
      </w:r>
      <w:r w:rsidRPr="009018F6">
        <w:rPr>
          <w:rFonts w:ascii="Garamond" w:hAnsi="Garamond" w:cstheme="minorHAnsi"/>
        </w:rPr>
        <w:t xml:space="preserve"> entièrement dédié à l’ESG et en charge de la mise en place d’une charte DD &amp; ISR, et du suivi et respect des engagements pris en matière d’ESG a rejoint les équipes du groupe INOVALIS. </w:t>
      </w:r>
      <w:r w:rsidR="00F57EE0">
        <w:rPr>
          <w:rFonts w:ascii="Garamond" w:hAnsi="Garamond" w:cstheme="minorHAnsi"/>
        </w:rPr>
        <w:t>Au 1</w:t>
      </w:r>
      <w:r w:rsidR="00F57EE0" w:rsidRPr="00F57EE0">
        <w:rPr>
          <w:rFonts w:ascii="Garamond" w:hAnsi="Garamond" w:cstheme="minorHAnsi"/>
          <w:vertAlign w:val="superscript"/>
        </w:rPr>
        <w:t>er</w:t>
      </w:r>
      <w:r w:rsidR="00F57EE0">
        <w:rPr>
          <w:rFonts w:ascii="Garamond" w:hAnsi="Garamond" w:cstheme="minorHAnsi"/>
        </w:rPr>
        <w:t xml:space="preserve"> juin 2023 le service développement </w:t>
      </w:r>
      <w:r w:rsidR="00F57EE0" w:rsidRPr="00F57EE0">
        <w:rPr>
          <w:rFonts w:ascii="Garamond" w:hAnsi="Garamond" w:cstheme="minorHAnsi"/>
        </w:rPr>
        <w:t>dura</w:t>
      </w:r>
      <w:r w:rsidR="00A7140F">
        <w:rPr>
          <w:rFonts w:ascii="Garamond" w:hAnsi="Garamond" w:cstheme="minorHAnsi"/>
        </w:rPr>
        <w:t>b</w:t>
      </w:r>
      <w:r w:rsidR="00F57EE0" w:rsidRPr="00F57EE0">
        <w:rPr>
          <w:rFonts w:ascii="Garamond" w:hAnsi="Garamond" w:cstheme="minorHAnsi"/>
        </w:rPr>
        <w:t xml:space="preserve">le du groupe </w:t>
      </w:r>
      <w:r w:rsidR="00F57EE0">
        <w:rPr>
          <w:rFonts w:ascii="Garamond" w:hAnsi="Garamond" w:cstheme="minorHAnsi"/>
        </w:rPr>
        <w:t xml:space="preserve">INOVALIS </w:t>
      </w:r>
      <w:r w:rsidR="00F57EE0" w:rsidRPr="00F57EE0">
        <w:rPr>
          <w:rFonts w:ascii="Garamond" w:hAnsi="Garamond" w:cstheme="minorHAnsi"/>
        </w:rPr>
        <w:t xml:space="preserve">est constitué de 3 </w:t>
      </w:r>
      <w:r w:rsidR="00F57EE0">
        <w:rPr>
          <w:rFonts w:ascii="Garamond" w:hAnsi="Garamond" w:cstheme="minorHAnsi"/>
        </w:rPr>
        <w:t>collaborateurs</w:t>
      </w:r>
      <w:r w:rsidR="00A7140F">
        <w:rPr>
          <w:rFonts w:ascii="Garamond" w:hAnsi="Garamond" w:cstheme="minorHAnsi"/>
        </w:rPr>
        <w:t xml:space="preserve">. </w:t>
      </w:r>
    </w:p>
    <w:p w14:paraId="63E97846" w14:textId="0EB7EFFC" w:rsidR="00A7140F" w:rsidRDefault="00A7140F" w:rsidP="00D303BF">
      <w:pPr>
        <w:spacing w:after="0" w:line="240" w:lineRule="auto"/>
        <w:jc w:val="both"/>
        <w:rPr>
          <w:rFonts w:ascii="Garamond" w:hAnsi="Garamond" w:cstheme="minorHAnsi"/>
        </w:rPr>
      </w:pPr>
    </w:p>
    <w:p w14:paraId="417E4A8C" w14:textId="68E9904F" w:rsidR="00A7140F" w:rsidRDefault="00A7140F" w:rsidP="00D303BF">
      <w:pPr>
        <w:spacing w:after="0" w:line="240" w:lineRule="auto"/>
        <w:jc w:val="both"/>
        <w:rPr>
          <w:rFonts w:ascii="Garamond" w:hAnsi="Garamond" w:cstheme="minorHAnsi"/>
        </w:rPr>
      </w:pPr>
      <w:r>
        <w:rPr>
          <w:rFonts w:ascii="Garamond" w:hAnsi="Garamond" w:cstheme="minorHAnsi"/>
        </w:rPr>
        <w:t xml:space="preserve">Plus généralement, une formation ESG a été dispensée par le service Développement Durable aux collaborateurs du services Acquisition ainsi qu’aux membres du Comité de Direction d’INOVALIS S.A. </w:t>
      </w:r>
    </w:p>
    <w:p w14:paraId="484E2281" w14:textId="0375CDC0" w:rsidR="009018F6" w:rsidRDefault="009018F6" w:rsidP="00D303BF">
      <w:pPr>
        <w:spacing w:after="0" w:line="240" w:lineRule="auto"/>
        <w:jc w:val="both"/>
        <w:rPr>
          <w:rFonts w:ascii="Garamond" w:hAnsi="Garamond" w:cstheme="minorHAnsi"/>
        </w:rPr>
      </w:pPr>
    </w:p>
    <w:p w14:paraId="5962ECC1" w14:textId="77777777" w:rsidR="009018F6" w:rsidRDefault="009018F6" w:rsidP="00D303BF">
      <w:pPr>
        <w:spacing w:after="0" w:line="240" w:lineRule="auto"/>
        <w:jc w:val="both"/>
        <w:rPr>
          <w:rFonts w:ascii="Garamond" w:hAnsi="Garamond" w:cstheme="minorHAnsi"/>
        </w:rPr>
      </w:pPr>
    </w:p>
    <w:p w14:paraId="72B5DC0B" w14:textId="348424CE" w:rsidR="00D303BF" w:rsidRPr="001308FD" w:rsidRDefault="001308FD" w:rsidP="001308FD">
      <w:pPr>
        <w:pStyle w:val="Titre1"/>
        <w:numPr>
          <w:ilvl w:val="0"/>
          <w:numId w:val="37"/>
        </w:numPr>
        <w:jc w:val="both"/>
      </w:pPr>
      <w:bookmarkStart w:id="6" w:name="_Toc139619601"/>
      <w:r w:rsidRPr="001308FD">
        <w:t>Démarche de prise en compte des critères environnementaux, sociaux et de qualité de gouvernance au niveau de la gouvernance de l'entité</w:t>
      </w:r>
      <w:bookmarkEnd w:id="6"/>
    </w:p>
    <w:p w14:paraId="45C788C2" w14:textId="77777777" w:rsidR="00D303BF" w:rsidRPr="00D303BF" w:rsidRDefault="00D303BF" w:rsidP="00D303BF">
      <w:pPr>
        <w:spacing w:after="0" w:line="240" w:lineRule="auto"/>
        <w:jc w:val="both"/>
        <w:rPr>
          <w:rFonts w:ascii="Garamond" w:hAnsi="Garamond" w:cstheme="minorHAnsi"/>
          <w:b/>
          <w:bCs/>
        </w:rPr>
      </w:pPr>
    </w:p>
    <w:p w14:paraId="12D65092" w14:textId="77777777" w:rsidR="00D303BF" w:rsidRPr="00A87385" w:rsidRDefault="00D303BF" w:rsidP="00D303BF">
      <w:pPr>
        <w:pStyle w:val="Titre2"/>
      </w:pPr>
      <w:bookmarkStart w:id="7" w:name="_Toc139619602"/>
      <w:r w:rsidRPr="00A87385">
        <w:t xml:space="preserve">3.1 </w:t>
      </w:r>
      <w:r w:rsidR="00F87AA2" w:rsidRPr="00A87385">
        <w:t xml:space="preserve">- </w:t>
      </w:r>
      <w:r w:rsidRPr="00A87385">
        <w:t>Connaissances, compétences et expérience des instances de gouvernance</w:t>
      </w:r>
      <w:bookmarkEnd w:id="7"/>
      <w:r w:rsidRPr="00A87385">
        <w:t xml:space="preserve"> </w:t>
      </w:r>
    </w:p>
    <w:p w14:paraId="42DDBF90" w14:textId="77777777" w:rsidR="00D303BF" w:rsidRPr="001308FD" w:rsidRDefault="00D303BF" w:rsidP="00D303BF">
      <w:pPr>
        <w:pStyle w:val="Paragraphedeliste"/>
        <w:spacing w:after="0" w:line="240" w:lineRule="auto"/>
        <w:ind w:left="360"/>
        <w:jc w:val="both"/>
        <w:rPr>
          <w:rFonts w:ascii="Garamond" w:hAnsi="Garamond" w:cstheme="minorHAnsi"/>
          <w:color w:val="000000"/>
          <w:highlight w:val="darkYellow"/>
          <w:shd w:val="clear" w:color="auto" w:fill="FFFFFF"/>
        </w:rPr>
      </w:pPr>
    </w:p>
    <w:p w14:paraId="3210BE07" w14:textId="17F91229" w:rsidR="00A87385" w:rsidRDefault="00A87385" w:rsidP="00D303BF">
      <w:pPr>
        <w:spacing w:after="0" w:line="240" w:lineRule="auto"/>
        <w:jc w:val="both"/>
        <w:rPr>
          <w:rFonts w:ascii="Garamond" w:hAnsi="Garamond" w:cstheme="minorHAnsi"/>
          <w:color w:val="000000"/>
          <w:shd w:val="clear" w:color="auto" w:fill="FFFFFF"/>
        </w:rPr>
      </w:pPr>
      <w:r w:rsidRPr="00A87385">
        <w:rPr>
          <w:rFonts w:ascii="Garamond" w:hAnsi="Garamond" w:cstheme="minorHAnsi"/>
          <w:color w:val="000000"/>
          <w:shd w:val="clear" w:color="auto" w:fill="FFFFFF"/>
        </w:rPr>
        <w:t>L</w:t>
      </w:r>
      <w:r>
        <w:rPr>
          <w:rFonts w:ascii="Garamond" w:hAnsi="Garamond" w:cstheme="minorHAnsi"/>
          <w:color w:val="000000"/>
          <w:shd w:val="clear" w:color="auto" w:fill="FFFFFF"/>
        </w:rPr>
        <w:t xml:space="preserve">a démarche ESG d’INOVALIS S.A. est mise en place par les équipes Acquisition et Asset Management de la société de gestion qui œuvrent au déploiement de la stratégie. La démarche ESG est piloté par le Comité de Direction de la société de gestion. </w:t>
      </w:r>
      <w:r w:rsidR="00E10F9D" w:rsidRPr="00E10F9D">
        <w:rPr>
          <w:rFonts w:ascii="Garamond" w:hAnsi="Garamond" w:cstheme="minorHAnsi"/>
          <w:color w:val="000000"/>
          <w:shd w:val="clear" w:color="auto" w:fill="FFFFFF"/>
        </w:rPr>
        <w:t>A l’heure actuelle, il n’y a pas de facteurs ESG intégrés au règlement interne du conseil d’administration d’</w:t>
      </w:r>
      <w:r w:rsidR="00E10F9D">
        <w:rPr>
          <w:rFonts w:ascii="Garamond" w:hAnsi="Garamond" w:cstheme="minorHAnsi"/>
          <w:color w:val="000000"/>
          <w:shd w:val="clear" w:color="auto" w:fill="FFFFFF"/>
        </w:rPr>
        <w:t>INOVALIS S.A.</w:t>
      </w:r>
    </w:p>
    <w:p w14:paraId="4E26D108" w14:textId="422DF6AC" w:rsidR="00A87385" w:rsidRDefault="00A87385" w:rsidP="00D303BF">
      <w:pPr>
        <w:spacing w:after="0" w:line="240" w:lineRule="auto"/>
        <w:jc w:val="both"/>
        <w:rPr>
          <w:rFonts w:ascii="Garamond" w:hAnsi="Garamond" w:cstheme="minorHAnsi"/>
          <w:color w:val="000000"/>
          <w:shd w:val="clear" w:color="auto" w:fill="FFFFFF"/>
        </w:rPr>
      </w:pPr>
    </w:p>
    <w:p w14:paraId="785D0B5C" w14:textId="493A5D33" w:rsidR="00A87385" w:rsidRPr="00A87385" w:rsidRDefault="00A87385" w:rsidP="00D303BF">
      <w:pPr>
        <w:spacing w:after="0" w:line="240" w:lineRule="auto"/>
        <w:jc w:val="both"/>
        <w:rPr>
          <w:rFonts w:ascii="Garamond" w:hAnsi="Garamond" w:cstheme="minorHAnsi"/>
          <w:color w:val="000000"/>
          <w:shd w:val="clear" w:color="auto" w:fill="FFFFFF"/>
        </w:rPr>
      </w:pPr>
      <w:r w:rsidRPr="00A87385">
        <w:rPr>
          <w:rFonts w:ascii="Garamond" w:hAnsi="Garamond" w:cstheme="minorHAnsi"/>
          <w:color w:val="000000"/>
          <w:shd w:val="clear" w:color="auto" w:fill="FFFFFF"/>
        </w:rPr>
        <w:t>De manière concrète, en phase d’acquisition des actifs, le score ESG pour l’opération est intégré dans la décision d’investissement.</w:t>
      </w:r>
      <w:r>
        <w:rPr>
          <w:rFonts w:ascii="Garamond" w:hAnsi="Garamond" w:cstheme="minorHAnsi"/>
          <w:color w:val="000000"/>
          <w:shd w:val="clear" w:color="auto" w:fill="FFFFFF"/>
        </w:rPr>
        <w:t xml:space="preserve"> Dans le cadre </w:t>
      </w:r>
      <w:r w:rsidR="00E10F9D">
        <w:rPr>
          <w:rFonts w:ascii="Garamond" w:hAnsi="Garamond" w:cstheme="minorHAnsi"/>
          <w:color w:val="000000"/>
          <w:shd w:val="clear" w:color="auto" w:fill="FFFFFF"/>
        </w:rPr>
        <w:t>des investissements</w:t>
      </w:r>
      <w:r>
        <w:rPr>
          <w:rFonts w:ascii="Garamond" w:hAnsi="Garamond" w:cstheme="minorHAnsi"/>
          <w:color w:val="000000"/>
          <w:shd w:val="clear" w:color="auto" w:fill="FFFFFF"/>
        </w:rPr>
        <w:t xml:space="preserve"> </w:t>
      </w:r>
      <w:r w:rsidR="00E10F9D">
        <w:rPr>
          <w:rFonts w:ascii="Garamond" w:hAnsi="Garamond" w:cstheme="minorHAnsi"/>
          <w:color w:val="000000"/>
          <w:shd w:val="clear" w:color="auto" w:fill="FFFFFF"/>
        </w:rPr>
        <w:t>en portefeuille, la société de gestion est actuellement dans une phase d’audit des actif</w:t>
      </w:r>
      <w:r w:rsidR="001925B4">
        <w:rPr>
          <w:rFonts w:ascii="Garamond" w:hAnsi="Garamond" w:cstheme="minorHAnsi"/>
          <w:color w:val="000000"/>
          <w:shd w:val="clear" w:color="auto" w:fill="FFFFFF"/>
        </w:rPr>
        <w:t>s</w:t>
      </w:r>
      <w:r w:rsidR="00E10F9D">
        <w:rPr>
          <w:rFonts w:ascii="Garamond" w:hAnsi="Garamond" w:cstheme="minorHAnsi"/>
          <w:color w:val="000000"/>
          <w:shd w:val="clear" w:color="auto" w:fill="FFFFFF"/>
        </w:rPr>
        <w:t xml:space="preserve"> sur le plan ESG afin de déterminer un plan d’action spécifique.</w:t>
      </w:r>
    </w:p>
    <w:p w14:paraId="756BF238" w14:textId="77777777" w:rsidR="00D303BF" w:rsidRPr="00D303BF" w:rsidRDefault="00D303BF" w:rsidP="00D303BF">
      <w:pPr>
        <w:spacing w:after="0" w:line="240" w:lineRule="auto"/>
        <w:jc w:val="both"/>
        <w:rPr>
          <w:rFonts w:ascii="Garamond" w:hAnsi="Garamond" w:cstheme="minorHAnsi"/>
          <w:color w:val="000000"/>
          <w:shd w:val="clear" w:color="auto" w:fill="FFFFFF"/>
        </w:rPr>
      </w:pPr>
    </w:p>
    <w:p w14:paraId="493831EC" w14:textId="77777777" w:rsidR="00D303BF" w:rsidRPr="00D303BF" w:rsidRDefault="00D303BF" w:rsidP="00D303BF">
      <w:pPr>
        <w:pStyle w:val="Titre2"/>
      </w:pPr>
      <w:bookmarkStart w:id="8" w:name="_Toc139619603"/>
      <w:r w:rsidRPr="00D303BF">
        <w:t xml:space="preserve">3.2 </w:t>
      </w:r>
      <w:r w:rsidR="00F87AA2">
        <w:t xml:space="preserve">- </w:t>
      </w:r>
      <w:r w:rsidRPr="00D303BF">
        <w:t>Politique de rémunération</w:t>
      </w:r>
      <w:bookmarkEnd w:id="8"/>
    </w:p>
    <w:p w14:paraId="0BE01403" w14:textId="40C883ED" w:rsidR="00D303BF" w:rsidRPr="00A87385" w:rsidRDefault="00D303BF" w:rsidP="00A87385">
      <w:pPr>
        <w:spacing w:after="0" w:line="240" w:lineRule="auto"/>
        <w:jc w:val="both"/>
        <w:rPr>
          <w:rFonts w:ascii="Garamond" w:hAnsi="Garamond"/>
          <w:highlight w:val="yellow"/>
        </w:rPr>
      </w:pPr>
      <w:r w:rsidRPr="00D303BF">
        <w:rPr>
          <w:rFonts w:ascii="Garamond" w:hAnsi="Garamond" w:cstheme="minorHAnsi"/>
          <w:color w:val="000000"/>
          <w:shd w:val="clear" w:color="auto" w:fill="FFFFFF"/>
        </w:rPr>
        <w:br/>
      </w:r>
      <w:r w:rsidR="0088554E">
        <w:rPr>
          <w:rFonts w:ascii="Garamond" w:hAnsi="Garamond"/>
        </w:rPr>
        <w:t>INOVALIS S.A.</w:t>
      </w:r>
      <w:r w:rsidRPr="00D303BF">
        <w:rPr>
          <w:rFonts w:ascii="Garamond" w:hAnsi="Garamond"/>
        </w:rPr>
        <w:t xml:space="preserve"> a pleinement conscience que la gestion des risques en matière de durabilité est intrinsèquement liée à l’activité d’un gestionnaire d’actifs immobiliers pour qui il est nécessaire de prendre en compte ces enjeux de long terme dans ses stratégies </w:t>
      </w:r>
      <w:r w:rsidRPr="00A87385">
        <w:rPr>
          <w:rFonts w:ascii="Garamond" w:hAnsi="Garamond"/>
        </w:rPr>
        <w:t>de gestion, notamment au vu de la durée de détention des actifs immobiliers dans le portefeuille des OPC</w:t>
      </w:r>
      <w:r w:rsidR="00A87385" w:rsidRPr="00A87385">
        <w:rPr>
          <w:rFonts w:ascii="Garamond" w:hAnsi="Garamond"/>
        </w:rPr>
        <w:t xml:space="preserve"> </w:t>
      </w:r>
      <w:r w:rsidRPr="00A87385">
        <w:rPr>
          <w:rFonts w:ascii="Garamond" w:hAnsi="Garamond"/>
        </w:rPr>
        <w:t>qu’elle gère.</w:t>
      </w:r>
    </w:p>
    <w:p w14:paraId="2E6C726F" w14:textId="77777777" w:rsidR="00D303BF" w:rsidRPr="00D303BF" w:rsidRDefault="00D303BF" w:rsidP="00A87385">
      <w:pPr>
        <w:spacing w:after="0" w:line="240" w:lineRule="auto"/>
        <w:jc w:val="both"/>
        <w:rPr>
          <w:rFonts w:ascii="Garamond" w:hAnsi="Garamond"/>
        </w:rPr>
      </w:pPr>
    </w:p>
    <w:p w14:paraId="116EE0C6" w14:textId="677A0532" w:rsidR="00D303BF" w:rsidRPr="00D303BF" w:rsidRDefault="00D303BF" w:rsidP="00A87385">
      <w:pPr>
        <w:spacing w:after="0" w:line="240" w:lineRule="auto"/>
        <w:jc w:val="both"/>
        <w:rPr>
          <w:rFonts w:ascii="Garamond" w:hAnsi="Garamond"/>
        </w:rPr>
      </w:pPr>
      <w:r w:rsidRPr="00D303BF">
        <w:rPr>
          <w:rFonts w:ascii="Garamond" w:hAnsi="Garamond"/>
        </w:rPr>
        <w:t>Dans ce contexte, la politique de rémunération d’</w:t>
      </w:r>
      <w:r w:rsidR="0088554E">
        <w:rPr>
          <w:rFonts w:ascii="Garamond" w:hAnsi="Garamond"/>
        </w:rPr>
        <w:t>INOVALIS S.A.</w:t>
      </w:r>
      <w:r w:rsidRPr="00D303BF">
        <w:rPr>
          <w:rFonts w:ascii="Garamond" w:hAnsi="Garamond"/>
        </w:rPr>
        <w:t xml:space="preserve"> promeut une gestion saine et effective des risques, cohérente </w:t>
      </w:r>
      <w:r w:rsidRPr="00A87385">
        <w:rPr>
          <w:rFonts w:ascii="Garamond" w:hAnsi="Garamond"/>
        </w:rPr>
        <w:t>avec la prise en compte des risques en matière de durabilité. Elle n’encourage pas ainsi une prise de risque par ses collaborateurs qui serait incompatible avec les profils de risque et les documents constitutifs des OPC qu’elle gère.</w:t>
      </w:r>
    </w:p>
    <w:p w14:paraId="072ACF97" w14:textId="77777777" w:rsidR="00A87385" w:rsidRPr="00D303BF" w:rsidRDefault="00A87385" w:rsidP="00A87385">
      <w:pPr>
        <w:jc w:val="both"/>
        <w:rPr>
          <w:rFonts w:ascii="Garamond" w:hAnsi="Garamond" w:cstheme="minorHAnsi"/>
          <w:color w:val="000000"/>
          <w:shd w:val="clear" w:color="auto" w:fill="FFFFFF"/>
        </w:rPr>
      </w:pPr>
    </w:p>
    <w:p w14:paraId="104FFBD3" w14:textId="77AF6DE4" w:rsidR="00D303BF" w:rsidRPr="00D303BF" w:rsidRDefault="009D313D" w:rsidP="009D313D">
      <w:pPr>
        <w:pStyle w:val="Titre2"/>
      </w:pPr>
      <w:bookmarkStart w:id="9" w:name="_Toc139619604"/>
      <w:r>
        <w:t xml:space="preserve">3.3 - </w:t>
      </w:r>
      <w:r w:rsidR="00D303BF" w:rsidRPr="00D303BF">
        <w:t>Intégration des critères ESG dans le règlement interne du conseil d'administration ou de surveillance de l'entité</w:t>
      </w:r>
      <w:bookmarkEnd w:id="9"/>
      <w:r w:rsidR="00D303BF" w:rsidRPr="00D303BF">
        <w:t> </w:t>
      </w:r>
    </w:p>
    <w:p w14:paraId="677C8A6B" w14:textId="77777777" w:rsidR="00D303BF" w:rsidRPr="00D303BF" w:rsidRDefault="00D303BF" w:rsidP="00D303BF">
      <w:pPr>
        <w:spacing w:after="0" w:line="240" w:lineRule="auto"/>
        <w:jc w:val="both"/>
        <w:rPr>
          <w:rFonts w:ascii="Garamond" w:hAnsi="Garamond" w:cstheme="minorHAnsi"/>
          <w:b/>
          <w:bCs/>
        </w:rPr>
      </w:pPr>
    </w:p>
    <w:p w14:paraId="2FD710A0" w14:textId="1893325C" w:rsidR="00D303BF" w:rsidRPr="00D303BF" w:rsidRDefault="00D303BF" w:rsidP="00D303BF">
      <w:pPr>
        <w:spacing w:after="0" w:line="240" w:lineRule="auto"/>
        <w:jc w:val="both"/>
        <w:rPr>
          <w:rFonts w:ascii="Garamond" w:hAnsi="Garamond" w:cstheme="minorHAnsi"/>
        </w:rPr>
      </w:pPr>
      <w:r w:rsidRPr="00D303BF">
        <w:rPr>
          <w:rFonts w:ascii="Garamond" w:hAnsi="Garamond" w:cstheme="minorHAnsi"/>
        </w:rPr>
        <w:t xml:space="preserve">Compte tenu de la forme sociale et de l’organisation de la gouvernance interne actuelle de </w:t>
      </w:r>
      <w:r w:rsidR="0088554E">
        <w:rPr>
          <w:rFonts w:ascii="Garamond" w:hAnsi="Garamond" w:cstheme="minorHAnsi"/>
        </w:rPr>
        <w:t>INOVALIS S.A.</w:t>
      </w:r>
      <w:r w:rsidRPr="00D303BF">
        <w:rPr>
          <w:rFonts w:ascii="Garamond" w:hAnsi="Garamond" w:cstheme="minorHAnsi"/>
        </w:rPr>
        <w:t>, cette rubrique n’est pas pertinente pour la société.</w:t>
      </w:r>
    </w:p>
    <w:p w14:paraId="68A59739" w14:textId="77777777" w:rsidR="00D303BF" w:rsidRPr="00D303BF" w:rsidRDefault="00D303BF" w:rsidP="00D303BF">
      <w:pPr>
        <w:spacing w:after="0" w:line="240" w:lineRule="auto"/>
        <w:jc w:val="both"/>
        <w:rPr>
          <w:rFonts w:ascii="Garamond" w:hAnsi="Garamond" w:cstheme="minorHAnsi"/>
          <w:color w:val="000000"/>
          <w:shd w:val="clear" w:color="auto" w:fill="FFFFFF"/>
        </w:rPr>
      </w:pPr>
    </w:p>
    <w:p w14:paraId="33A76264" w14:textId="6ABDE5C9" w:rsidR="00D303BF" w:rsidRPr="00D303BF" w:rsidRDefault="00D303BF" w:rsidP="00977EE1">
      <w:pPr>
        <w:pStyle w:val="Titre1"/>
        <w:numPr>
          <w:ilvl w:val="0"/>
          <w:numId w:val="37"/>
        </w:numPr>
        <w:jc w:val="both"/>
      </w:pPr>
      <w:bookmarkStart w:id="10" w:name="_Toc139619605"/>
      <w:r w:rsidRPr="00D303BF">
        <w:t>Informations sur la stratégie d'engagement auprès des émetteurs ou vis-à-vis des sociétés de gestion et sa mise en œuvre</w:t>
      </w:r>
      <w:bookmarkEnd w:id="10"/>
      <w:r w:rsidRPr="00D303BF">
        <w:t xml:space="preserve"> </w:t>
      </w:r>
    </w:p>
    <w:p w14:paraId="37765365" w14:textId="77777777" w:rsidR="00D303BF" w:rsidRPr="00D303BF" w:rsidRDefault="00D303BF" w:rsidP="00D303BF">
      <w:pPr>
        <w:pStyle w:val="Paragraphedeliste"/>
        <w:spacing w:after="0" w:line="240" w:lineRule="auto"/>
        <w:ind w:left="284"/>
        <w:jc w:val="both"/>
        <w:rPr>
          <w:rFonts w:ascii="Garamond" w:hAnsi="Garamond" w:cstheme="minorHAnsi"/>
          <w:b/>
          <w:bCs/>
        </w:rPr>
      </w:pPr>
    </w:p>
    <w:p w14:paraId="516A24F4" w14:textId="77777777" w:rsidR="00D303BF" w:rsidRPr="00D303BF" w:rsidRDefault="00D303BF" w:rsidP="00D303BF">
      <w:pPr>
        <w:pStyle w:val="Titre2"/>
      </w:pPr>
      <w:bookmarkStart w:id="11" w:name="_Toc139619606"/>
      <w:r w:rsidRPr="00D303BF">
        <w:t>4.1</w:t>
      </w:r>
      <w:r w:rsidR="00F87AA2">
        <w:t xml:space="preserve"> -</w:t>
      </w:r>
      <w:r w:rsidRPr="00D303BF">
        <w:t xml:space="preserve"> Périmètre des entreprises concernées par la stratégie d’engagement</w:t>
      </w:r>
      <w:bookmarkEnd w:id="11"/>
    </w:p>
    <w:p w14:paraId="7018879E" w14:textId="77777777" w:rsidR="00D303BF" w:rsidRPr="00D303BF" w:rsidRDefault="00D303BF" w:rsidP="00D303BF">
      <w:pPr>
        <w:spacing w:after="0" w:line="240" w:lineRule="auto"/>
        <w:jc w:val="both"/>
        <w:rPr>
          <w:rFonts w:ascii="Garamond" w:hAnsi="Garamond" w:cstheme="minorHAnsi"/>
          <w:b/>
          <w:bCs/>
        </w:rPr>
      </w:pPr>
    </w:p>
    <w:p w14:paraId="7817B693" w14:textId="28E34985" w:rsidR="00D303BF" w:rsidRPr="00D303BF" w:rsidRDefault="00D303BF" w:rsidP="00D303BF">
      <w:pPr>
        <w:spacing w:after="0" w:line="240" w:lineRule="auto"/>
        <w:jc w:val="both"/>
        <w:rPr>
          <w:rFonts w:ascii="Garamond" w:hAnsi="Garamond" w:cstheme="minorHAnsi"/>
        </w:rPr>
      </w:pPr>
      <w:r w:rsidRPr="00E10F9D">
        <w:rPr>
          <w:rFonts w:ascii="Garamond" w:hAnsi="Garamond" w:cstheme="minorHAnsi"/>
        </w:rPr>
        <w:t xml:space="preserve">Compte tenu de la typologie des actifs sous-jacents des OPCI qu’elle gère, </w:t>
      </w:r>
      <w:r w:rsidR="0088554E" w:rsidRPr="00E10F9D">
        <w:rPr>
          <w:rFonts w:ascii="Garamond" w:hAnsi="Garamond" w:cstheme="minorHAnsi"/>
        </w:rPr>
        <w:t>INOVALIS S.A.</w:t>
      </w:r>
      <w:r w:rsidRPr="00E10F9D">
        <w:rPr>
          <w:rFonts w:ascii="Garamond" w:hAnsi="Garamond" w:cstheme="minorHAnsi"/>
        </w:rPr>
        <w:t xml:space="preserve"> ne s’est dotée, ni d’une politique, ni d’une stratégie d’engagement actionnarial, à ce stade.</w:t>
      </w:r>
    </w:p>
    <w:p w14:paraId="40C4211C" w14:textId="77777777" w:rsidR="00D303BF" w:rsidRPr="00D303BF" w:rsidRDefault="00D303BF" w:rsidP="00D303BF">
      <w:pPr>
        <w:spacing w:after="0" w:line="240" w:lineRule="auto"/>
        <w:jc w:val="both"/>
        <w:rPr>
          <w:rFonts w:ascii="Garamond" w:hAnsi="Garamond" w:cstheme="minorHAnsi"/>
          <w:b/>
          <w:bCs/>
        </w:rPr>
      </w:pPr>
    </w:p>
    <w:p w14:paraId="3F3704D1" w14:textId="77777777" w:rsidR="00D303BF" w:rsidRPr="00D303BF" w:rsidRDefault="00D303BF" w:rsidP="00D303BF">
      <w:pPr>
        <w:pStyle w:val="Titre2"/>
      </w:pPr>
      <w:bookmarkStart w:id="12" w:name="_Toc139619607"/>
      <w:r w:rsidRPr="00D303BF">
        <w:t>4.2</w:t>
      </w:r>
      <w:r w:rsidR="00F87AA2">
        <w:t xml:space="preserve"> -</w:t>
      </w:r>
      <w:r w:rsidRPr="00D303BF">
        <w:t xml:space="preserve"> Politique de vote</w:t>
      </w:r>
      <w:bookmarkEnd w:id="12"/>
    </w:p>
    <w:p w14:paraId="3CC09101" w14:textId="77777777" w:rsidR="00D303BF" w:rsidRPr="00D303BF" w:rsidRDefault="00D303BF" w:rsidP="00D303BF">
      <w:pPr>
        <w:spacing w:after="0" w:line="240" w:lineRule="auto"/>
        <w:jc w:val="both"/>
        <w:rPr>
          <w:rFonts w:ascii="Garamond" w:hAnsi="Garamond" w:cstheme="minorHAnsi"/>
          <w:b/>
          <w:bCs/>
        </w:rPr>
      </w:pPr>
    </w:p>
    <w:p w14:paraId="4287AD5A" w14:textId="2FBA6396" w:rsidR="00D303BF" w:rsidRPr="00D303BF" w:rsidRDefault="00D303BF" w:rsidP="00D303BF">
      <w:pPr>
        <w:spacing w:after="0" w:line="240" w:lineRule="auto"/>
        <w:jc w:val="both"/>
        <w:rPr>
          <w:rFonts w:ascii="Garamond" w:hAnsi="Garamond" w:cstheme="minorHAnsi"/>
        </w:rPr>
      </w:pPr>
      <w:r w:rsidRPr="00D303BF">
        <w:rPr>
          <w:rFonts w:ascii="Garamond" w:hAnsi="Garamond" w:cstheme="minorHAnsi"/>
        </w:rPr>
        <w:t xml:space="preserve">Compte tenu de la typologie des actifs sous-jacents des OPCI qu’elle gère, </w:t>
      </w:r>
      <w:r w:rsidR="0088554E">
        <w:rPr>
          <w:rFonts w:ascii="Garamond" w:hAnsi="Garamond" w:cstheme="minorHAnsi"/>
        </w:rPr>
        <w:t>INOVALIS S.A.</w:t>
      </w:r>
      <w:r w:rsidRPr="00D303BF">
        <w:rPr>
          <w:rFonts w:ascii="Garamond" w:hAnsi="Garamond" w:cstheme="minorHAnsi"/>
        </w:rPr>
        <w:t xml:space="preserve"> ne s’est pas dotée d’une politique de vote, à ce stade.</w:t>
      </w:r>
    </w:p>
    <w:p w14:paraId="6A12354D" w14:textId="77777777" w:rsidR="00D303BF" w:rsidRPr="00D303BF" w:rsidRDefault="00D303BF" w:rsidP="00D303BF">
      <w:pPr>
        <w:spacing w:after="0" w:line="240" w:lineRule="auto"/>
        <w:jc w:val="both"/>
        <w:rPr>
          <w:rFonts w:ascii="Garamond" w:hAnsi="Garamond" w:cstheme="minorHAnsi"/>
        </w:rPr>
      </w:pPr>
    </w:p>
    <w:p w14:paraId="5793C27B" w14:textId="77777777" w:rsidR="00D303BF" w:rsidRPr="00D303BF" w:rsidRDefault="00D303BF" w:rsidP="00D303BF">
      <w:pPr>
        <w:pStyle w:val="Titre2"/>
      </w:pPr>
      <w:bookmarkStart w:id="13" w:name="_Toc139619608"/>
      <w:r w:rsidRPr="00D303BF">
        <w:t>4.3</w:t>
      </w:r>
      <w:r w:rsidR="00F87AA2">
        <w:t xml:space="preserve"> -</w:t>
      </w:r>
      <w:r w:rsidRPr="00D303BF">
        <w:t xml:space="preserve"> Bilan de la stratégie d’engagement mise en œuvre</w:t>
      </w:r>
      <w:bookmarkEnd w:id="13"/>
    </w:p>
    <w:p w14:paraId="5A98DE05" w14:textId="77777777" w:rsidR="00D303BF" w:rsidRPr="00D303BF" w:rsidRDefault="00D303BF" w:rsidP="00D303BF">
      <w:pPr>
        <w:spacing w:after="0" w:line="240" w:lineRule="auto"/>
        <w:jc w:val="both"/>
        <w:rPr>
          <w:rFonts w:ascii="Garamond" w:hAnsi="Garamond" w:cstheme="minorHAnsi"/>
        </w:rPr>
      </w:pPr>
    </w:p>
    <w:p w14:paraId="358A50E4" w14:textId="26461405" w:rsidR="00D303BF" w:rsidRPr="00D303BF" w:rsidRDefault="00D303BF" w:rsidP="00D303BF">
      <w:pPr>
        <w:spacing w:after="0" w:line="240" w:lineRule="auto"/>
        <w:jc w:val="both"/>
        <w:rPr>
          <w:rFonts w:ascii="Garamond" w:hAnsi="Garamond" w:cstheme="minorHAnsi"/>
        </w:rPr>
      </w:pPr>
      <w:r w:rsidRPr="00D303BF">
        <w:rPr>
          <w:rFonts w:ascii="Garamond" w:hAnsi="Garamond" w:cstheme="minorHAnsi"/>
        </w:rPr>
        <w:t xml:space="preserve">Compte tenu de la typologie des actifs sous-jacents des OPCI qu’elle gère, </w:t>
      </w:r>
      <w:r w:rsidR="0088554E">
        <w:rPr>
          <w:rFonts w:ascii="Garamond" w:hAnsi="Garamond" w:cstheme="minorHAnsi"/>
        </w:rPr>
        <w:t>INOVALIS S.A.</w:t>
      </w:r>
      <w:r w:rsidRPr="00D303BF">
        <w:rPr>
          <w:rFonts w:ascii="Garamond" w:hAnsi="Garamond" w:cstheme="minorHAnsi"/>
        </w:rPr>
        <w:t xml:space="preserve"> n’a pas mis en œuvre de stratégie d’engagement actionnarial, à ce stade.</w:t>
      </w:r>
    </w:p>
    <w:p w14:paraId="164E03F6" w14:textId="77777777" w:rsidR="00D303BF" w:rsidRPr="00D303BF" w:rsidRDefault="00D303BF" w:rsidP="00D303BF">
      <w:pPr>
        <w:spacing w:after="0" w:line="240" w:lineRule="auto"/>
        <w:jc w:val="both"/>
        <w:rPr>
          <w:rFonts w:ascii="Garamond" w:hAnsi="Garamond" w:cstheme="minorHAnsi"/>
        </w:rPr>
      </w:pPr>
    </w:p>
    <w:p w14:paraId="49FAB2A2" w14:textId="77777777" w:rsidR="00D303BF" w:rsidRPr="00D303BF" w:rsidRDefault="00D303BF" w:rsidP="00D303BF">
      <w:pPr>
        <w:pStyle w:val="Titre2"/>
      </w:pPr>
      <w:bookmarkStart w:id="14" w:name="_Toc139619609"/>
      <w:r w:rsidRPr="00D303BF">
        <w:t>4.4</w:t>
      </w:r>
      <w:r w:rsidR="00F87AA2">
        <w:t xml:space="preserve"> -</w:t>
      </w:r>
      <w:r w:rsidRPr="00D303BF">
        <w:t xml:space="preserve"> Bilan de la politique de vote mise en œuvre</w:t>
      </w:r>
      <w:bookmarkEnd w:id="14"/>
    </w:p>
    <w:p w14:paraId="31A3C885" w14:textId="77777777" w:rsidR="00D303BF" w:rsidRPr="00D303BF" w:rsidRDefault="00D303BF" w:rsidP="00D303BF">
      <w:pPr>
        <w:spacing w:after="0" w:line="240" w:lineRule="auto"/>
        <w:jc w:val="both"/>
        <w:rPr>
          <w:rFonts w:ascii="Garamond" w:hAnsi="Garamond" w:cstheme="minorHAnsi"/>
          <w:b/>
          <w:bCs/>
        </w:rPr>
      </w:pPr>
    </w:p>
    <w:p w14:paraId="73505DB8" w14:textId="25E77220" w:rsidR="00D303BF" w:rsidRPr="00D303BF" w:rsidRDefault="00D303BF" w:rsidP="00D303BF">
      <w:pPr>
        <w:spacing w:after="0" w:line="240" w:lineRule="auto"/>
        <w:jc w:val="both"/>
        <w:rPr>
          <w:rFonts w:ascii="Garamond" w:hAnsi="Garamond" w:cstheme="minorHAnsi"/>
        </w:rPr>
      </w:pPr>
      <w:r w:rsidRPr="00D303BF">
        <w:rPr>
          <w:rFonts w:ascii="Garamond" w:hAnsi="Garamond" w:cstheme="minorHAnsi"/>
        </w:rPr>
        <w:t xml:space="preserve">Compte tenu de la typologie des actifs sous-jacents des OPCI qu’elle gère, </w:t>
      </w:r>
      <w:r w:rsidR="0088554E">
        <w:rPr>
          <w:rFonts w:ascii="Garamond" w:hAnsi="Garamond" w:cstheme="minorHAnsi"/>
        </w:rPr>
        <w:t>INOVALIS S.A.</w:t>
      </w:r>
      <w:r w:rsidRPr="00D303BF">
        <w:rPr>
          <w:rFonts w:ascii="Garamond" w:hAnsi="Garamond" w:cstheme="minorHAnsi"/>
        </w:rPr>
        <w:t xml:space="preserve"> ne s’est pas dotée d’une politique de vote à ce stade.</w:t>
      </w:r>
    </w:p>
    <w:p w14:paraId="23FFCF71" w14:textId="7546F251" w:rsidR="00E10F9D" w:rsidRDefault="00E10F9D" w:rsidP="00E10F9D">
      <w:pPr>
        <w:spacing w:after="0" w:line="240" w:lineRule="auto"/>
        <w:jc w:val="both"/>
        <w:rPr>
          <w:rFonts w:ascii="Garamond" w:hAnsi="Garamond" w:cstheme="minorHAnsi"/>
          <w:highlight w:val="darkYellow"/>
        </w:rPr>
      </w:pPr>
    </w:p>
    <w:p w14:paraId="3283237A" w14:textId="1BFA977E" w:rsidR="00E10F9D" w:rsidRPr="002B4F61" w:rsidRDefault="00E10F9D" w:rsidP="00E10F9D">
      <w:pPr>
        <w:pStyle w:val="Titre2"/>
      </w:pPr>
      <w:bookmarkStart w:id="15" w:name="_Toc139619610"/>
      <w:r>
        <w:t xml:space="preserve">4.5 - </w:t>
      </w:r>
      <w:r w:rsidRPr="002B4F61">
        <w:t>Décisions prises en matière de stratégie d'investissement.</w:t>
      </w:r>
      <w:bookmarkEnd w:id="15"/>
    </w:p>
    <w:p w14:paraId="3DCB1220" w14:textId="2A18805F" w:rsidR="00E10F9D" w:rsidRDefault="00E10F9D" w:rsidP="00E10F9D">
      <w:pPr>
        <w:spacing w:after="0" w:line="240" w:lineRule="auto"/>
        <w:jc w:val="both"/>
        <w:rPr>
          <w:rFonts w:ascii="Garamond" w:hAnsi="Garamond" w:cstheme="minorHAnsi"/>
          <w:highlight w:val="darkYellow"/>
        </w:rPr>
      </w:pPr>
    </w:p>
    <w:p w14:paraId="30D8911F" w14:textId="4A8DBB56" w:rsidR="00977EE1" w:rsidRPr="001925B4" w:rsidRDefault="00977EE1" w:rsidP="00977EE1">
      <w:pPr>
        <w:spacing w:after="120"/>
        <w:rPr>
          <w:rFonts w:ascii="Garamond" w:hAnsi="Garamond" w:cstheme="minorHAnsi"/>
        </w:rPr>
      </w:pPr>
      <w:r w:rsidRPr="001925B4">
        <w:rPr>
          <w:rFonts w:ascii="Garamond" w:hAnsi="Garamond" w:cstheme="minorHAnsi"/>
        </w:rPr>
        <w:t>La société de gestion n’applique pas de politique d'exclusion pour ses investissements sur des critères relevant de l'ESG.</w:t>
      </w:r>
    </w:p>
    <w:p w14:paraId="09018FE9" w14:textId="77777777" w:rsidR="00E10F9D" w:rsidRPr="00E10F9D" w:rsidRDefault="00E10F9D" w:rsidP="00E10F9D">
      <w:pPr>
        <w:spacing w:after="0" w:line="240" w:lineRule="auto"/>
        <w:jc w:val="both"/>
        <w:rPr>
          <w:rFonts w:ascii="Garamond" w:hAnsi="Garamond" w:cstheme="minorHAnsi"/>
          <w:highlight w:val="darkYellow"/>
        </w:rPr>
      </w:pPr>
    </w:p>
    <w:p w14:paraId="152050B8" w14:textId="1C6EA802" w:rsidR="00D303BF" w:rsidRDefault="00D303BF" w:rsidP="00D303BF">
      <w:pPr>
        <w:spacing w:after="0" w:line="240" w:lineRule="auto"/>
        <w:jc w:val="both"/>
        <w:rPr>
          <w:rFonts w:ascii="Garamond" w:hAnsi="Garamond" w:cstheme="minorHAnsi"/>
          <w:b/>
          <w:bCs/>
        </w:rPr>
      </w:pPr>
    </w:p>
    <w:p w14:paraId="5C300FD8" w14:textId="3ADCB75F" w:rsidR="002B4F61" w:rsidRDefault="002B4F61" w:rsidP="00D303BF">
      <w:pPr>
        <w:spacing w:after="0" w:line="240" w:lineRule="auto"/>
        <w:jc w:val="both"/>
        <w:rPr>
          <w:rFonts w:ascii="Garamond" w:hAnsi="Garamond" w:cstheme="minorHAnsi"/>
          <w:b/>
          <w:bCs/>
        </w:rPr>
      </w:pPr>
    </w:p>
    <w:p w14:paraId="4073928D" w14:textId="2CC9F94D" w:rsidR="002B4F61" w:rsidRDefault="002B4F61" w:rsidP="00D303BF">
      <w:pPr>
        <w:spacing w:after="0" w:line="240" w:lineRule="auto"/>
        <w:jc w:val="both"/>
        <w:rPr>
          <w:rFonts w:ascii="Garamond" w:hAnsi="Garamond" w:cstheme="minorHAnsi"/>
          <w:b/>
          <w:bCs/>
        </w:rPr>
      </w:pPr>
    </w:p>
    <w:p w14:paraId="5B6DBCCA" w14:textId="77777777" w:rsidR="002B4F61" w:rsidRPr="00D303BF" w:rsidRDefault="002B4F61" w:rsidP="00D303BF">
      <w:pPr>
        <w:spacing w:after="0" w:line="240" w:lineRule="auto"/>
        <w:jc w:val="both"/>
        <w:rPr>
          <w:rFonts w:ascii="Garamond" w:hAnsi="Garamond" w:cstheme="minorHAnsi"/>
          <w:b/>
          <w:bCs/>
        </w:rPr>
      </w:pPr>
    </w:p>
    <w:p w14:paraId="13C56C6D" w14:textId="27030E0C" w:rsidR="00D303BF" w:rsidRDefault="00977EE1" w:rsidP="00977EE1">
      <w:pPr>
        <w:pStyle w:val="Titre1"/>
        <w:numPr>
          <w:ilvl w:val="0"/>
          <w:numId w:val="37"/>
        </w:numPr>
        <w:jc w:val="both"/>
      </w:pPr>
      <w:bookmarkStart w:id="16" w:name="_Toc139619611"/>
      <w:r w:rsidRPr="00977EE1">
        <w:lastRenderedPageBreak/>
        <w:t>Taxonomie européenne et combustibles fossiles</w:t>
      </w:r>
      <w:bookmarkEnd w:id="16"/>
    </w:p>
    <w:p w14:paraId="4F0DD645" w14:textId="77777777" w:rsidR="00977EE1" w:rsidRDefault="00977EE1" w:rsidP="00977EE1">
      <w:pPr>
        <w:spacing w:after="120"/>
        <w:jc w:val="both"/>
      </w:pPr>
    </w:p>
    <w:p w14:paraId="1A92BE7B" w14:textId="77777777" w:rsidR="00977EE1" w:rsidRPr="001925B4" w:rsidRDefault="00977EE1" w:rsidP="001925B4">
      <w:pPr>
        <w:spacing w:after="120"/>
        <w:rPr>
          <w:rFonts w:ascii="Garamond" w:hAnsi="Garamond" w:cstheme="minorHAnsi"/>
        </w:rPr>
      </w:pPr>
      <w:r w:rsidRPr="001925B4">
        <w:rPr>
          <w:rFonts w:ascii="Garamond" w:hAnsi="Garamond" w:cstheme="minorHAnsi"/>
        </w:rPr>
        <w:t>Dû à l’absence de données, la société n’est aujourd’hui pas en mesure de collecter les données permettant de calculer la part des en-cours concernant les activités en conformité avec les critères d'examen technique sur l'établissement d'un cadre visant à favoriser les investissements durables.</w:t>
      </w:r>
    </w:p>
    <w:p w14:paraId="0AE0B731" w14:textId="3C0EB06B" w:rsidR="00977EE1" w:rsidRPr="001925B4" w:rsidRDefault="00977EE1" w:rsidP="001925B4">
      <w:pPr>
        <w:spacing w:after="120"/>
        <w:rPr>
          <w:rFonts w:ascii="Garamond" w:hAnsi="Garamond" w:cstheme="minorHAnsi"/>
        </w:rPr>
      </w:pPr>
      <w:r w:rsidRPr="001925B4">
        <w:rPr>
          <w:rFonts w:ascii="Garamond" w:hAnsi="Garamond" w:cstheme="minorHAnsi"/>
        </w:rPr>
        <w:t>INOVALIS S.A. ne possède aucun en-cours dans le secteur des combustibles fossiles.</w:t>
      </w:r>
    </w:p>
    <w:p w14:paraId="2EFE6705" w14:textId="77777777" w:rsidR="00D303BF" w:rsidRPr="00D303BF" w:rsidRDefault="00D303BF" w:rsidP="00D303BF">
      <w:pPr>
        <w:spacing w:after="0" w:line="240" w:lineRule="auto"/>
        <w:jc w:val="both"/>
        <w:rPr>
          <w:rFonts w:ascii="Garamond" w:hAnsi="Garamond" w:cstheme="minorHAnsi"/>
          <w:b/>
          <w:bCs/>
        </w:rPr>
      </w:pPr>
    </w:p>
    <w:p w14:paraId="70C2F37F" w14:textId="5ED34247" w:rsidR="00D303BF" w:rsidRPr="00D303BF" w:rsidRDefault="00D303BF" w:rsidP="004442BA">
      <w:pPr>
        <w:pStyle w:val="Titre1"/>
        <w:numPr>
          <w:ilvl w:val="0"/>
          <w:numId w:val="37"/>
        </w:numPr>
        <w:jc w:val="both"/>
      </w:pPr>
      <w:bookmarkStart w:id="17" w:name="_Toc139619612"/>
      <w:r w:rsidRPr="00D303BF">
        <w:t>Informations sur la stratégie d'alignement avec les objectifs internationaux de limitation du réchauffement climatique prévus par l'Accord de Paris</w:t>
      </w:r>
      <w:bookmarkEnd w:id="17"/>
    </w:p>
    <w:p w14:paraId="28D6B453" w14:textId="77777777" w:rsidR="00D303BF" w:rsidRPr="00D303BF" w:rsidRDefault="00D303BF" w:rsidP="00D303BF">
      <w:pPr>
        <w:spacing w:after="0" w:line="240" w:lineRule="auto"/>
        <w:jc w:val="both"/>
        <w:rPr>
          <w:rFonts w:ascii="Garamond" w:hAnsi="Garamond" w:cstheme="minorHAnsi"/>
          <w:b/>
          <w:bCs/>
        </w:rPr>
      </w:pPr>
    </w:p>
    <w:p w14:paraId="4FD08D52" w14:textId="0E32AD4C" w:rsidR="00D303BF" w:rsidRPr="00D303BF" w:rsidRDefault="00D303BF" w:rsidP="00D303BF">
      <w:pPr>
        <w:spacing w:after="0" w:line="240" w:lineRule="auto"/>
        <w:jc w:val="both"/>
        <w:rPr>
          <w:rFonts w:ascii="Garamond" w:hAnsi="Garamond" w:cstheme="minorHAnsi"/>
        </w:rPr>
      </w:pPr>
      <w:proofErr w:type="gramStart"/>
      <w:r w:rsidRPr="00977EE1">
        <w:rPr>
          <w:rFonts w:ascii="Garamond" w:hAnsi="Garamond" w:cstheme="minorHAnsi"/>
        </w:rPr>
        <w:t>Suite aux</w:t>
      </w:r>
      <w:proofErr w:type="gramEnd"/>
      <w:r w:rsidRPr="00977EE1">
        <w:rPr>
          <w:rFonts w:ascii="Garamond" w:hAnsi="Garamond" w:cstheme="minorHAnsi"/>
        </w:rPr>
        <w:t xml:space="preserve"> Accords de Paris, </w:t>
      </w:r>
      <w:r w:rsidR="0088554E" w:rsidRPr="00977EE1">
        <w:rPr>
          <w:rFonts w:ascii="Garamond" w:hAnsi="Garamond" w:cstheme="minorHAnsi"/>
        </w:rPr>
        <w:t>INOVALIS S.A.</w:t>
      </w:r>
      <w:r w:rsidRPr="00977EE1">
        <w:rPr>
          <w:rFonts w:ascii="Garamond" w:hAnsi="Garamond" w:cstheme="minorHAnsi"/>
        </w:rPr>
        <w:t xml:space="preserve"> a entrepris de mettre en œuvre une stratégie d’alignement avec les objectifs de long terme correspondant aux articles 2 et 4 desdits accords et qui portent sur l’atténuation des gaz à effet de serre et sur la stratégie bas-carbone pour les OPC</w:t>
      </w:r>
      <w:r w:rsidR="00977EE1" w:rsidRPr="00977EE1">
        <w:rPr>
          <w:rFonts w:ascii="Garamond" w:hAnsi="Garamond" w:cstheme="minorHAnsi"/>
        </w:rPr>
        <w:t xml:space="preserve"> </w:t>
      </w:r>
      <w:r w:rsidRPr="00977EE1">
        <w:rPr>
          <w:rFonts w:ascii="Garamond" w:hAnsi="Garamond" w:cstheme="minorHAnsi"/>
        </w:rPr>
        <w:t>qu’elle gère dont les actifs sous-jacents sont entièrement réalisés sur le territoire français.</w:t>
      </w:r>
    </w:p>
    <w:p w14:paraId="0ECA7356" w14:textId="77777777" w:rsidR="00D303BF" w:rsidRPr="00D303BF" w:rsidRDefault="00D303BF" w:rsidP="00D303BF">
      <w:pPr>
        <w:spacing w:after="0" w:line="240" w:lineRule="auto"/>
        <w:jc w:val="both"/>
        <w:rPr>
          <w:rFonts w:ascii="Garamond" w:hAnsi="Garamond" w:cstheme="minorHAnsi"/>
        </w:rPr>
      </w:pPr>
    </w:p>
    <w:p w14:paraId="07B756FA" w14:textId="003A4CDE" w:rsidR="00D303BF" w:rsidRPr="00977EE1" w:rsidRDefault="00D303BF" w:rsidP="00D303BF">
      <w:pPr>
        <w:spacing w:after="0" w:line="240" w:lineRule="auto"/>
        <w:jc w:val="both"/>
        <w:rPr>
          <w:rFonts w:ascii="Garamond" w:hAnsi="Garamond" w:cstheme="minorHAnsi"/>
        </w:rPr>
      </w:pPr>
      <w:r w:rsidRPr="00977EE1">
        <w:rPr>
          <w:rFonts w:ascii="Garamond" w:hAnsi="Garamond" w:cstheme="minorHAnsi"/>
        </w:rPr>
        <w:t xml:space="preserve">A ce titre, </w:t>
      </w:r>
      <w:r w:rsidR="0088554E" w:rsidRPr="00977EE1">
        <w:rPr>
          <w:rFonts w:ascii="Garamond" w:hAnsi="Garamond" w:cstheme="minorHAnsi"/>
        </w:rPr>
        <w:t>INOVALIS S.A.</w:t>
      </w:r>
      <w:r w:rsidRPr="00977EE1">
        <w:rPr>
          <w:rFonts w:ascii="Garamond" w:hAnsi="Garamond" w:cstheme="minorHAnsi"/>
        </w:rPr>
        <w:t xml:space="preserve"> applique, notamment, les mesures suivantes aux actifs immobiliers détenus par les OPCI qu’elle gère : </w:t>
      </w:r>
    </w:p>
    <w:p w14:paraId="1F907928" w14:textId="77777777" w:rsidR="00D303BF" w:rsidRPr="00977EE1" w:rsidRDefault="00D303BF" w:rsidP="00D303BF">
      <w:pPr>
        <w:spacing w:after="0" w:line="240" w:lineRule="auto"/>
        <w:jc w:val="both"/>
        <w:rPr>
          <w:rFonts w:ascii="Garamond" w:hAnsi="Garamond" w:cstheme="minorHAnsi"/>
        </w:rPr>
      </w:pPr>
    </w:p>
    <w:p w14:paraId="0484C030" w14:textId="1C9500EF" w:rsidR="00D303BF" w:rsidRPr="00977EE1" w:rsidRDefault="00D303BF" w:rsidP="00D303BF">
      <w:pPr>
        <w:pStyle w:val="Paragraphedeliste"/>
        <w:numPr>
          <w:ilvl w:val="0"/>
          <w:numId w:val="18"/>
        </w:numPr>
        <w:spacing w:after="0" w:line="240" w:lineRule="auto"/>
        <w:jc w:val="both"/>
        <w:rPr>
          <w:rFonts w:ascii="Garamond" w:hAnsi="Garamond" w:cstheme="minorHAnsi"/>
        </w:rPr>
      </w:pPr>
      <w:proofErr w:type="gramStart"/>
      <w:r w:rsidRPr="00977EE1">
        <w:rPr>
          <w:rFonts w:ascii="Garamond" w:hAnsi="Garamond" w:cstheme="minorHAnsi"/>
        </w:rPr>
        <w:t>elle</w:t>
      </w:r>
      <w:proofErr w:type="gramEnd"/>
      <w:r w:rsidRPr="00977EE1">
        <w:rPr>
          <w:rFonts w:ascii="Garamond" w:hAnsi="Garamond" w:cstheme="minorHAnsi"/>
        </w:rPr>
        <w:t xml:space="preserve"> procède au calcul des consommations énergétiques annuelles des actifs </w:t>
      </w:r>
      <w:r w:rsidR="0068789A">
        <w:rPr>
          <w:rFonts w:ascii="Garamond" w:hAnsi="Garamond" w:cstheme="minorHAnsi"/>
        </w:rPr>
        <w:t>lorsque cette donnée est accessible</w:t>
      </w:r>
      <w:r w:rsidRPr="00977EE1">
        <w:rPr>
          <w:rFonts w:ascii="Garamond" w:hAnsi="Garamond" w:cstheme="minorHAnsi"/>
        </w:rPr>
        <w:t>;</w:t>
      </w:r>
    </w:p>
    <w:p w14:paraId="220D52D9" w14:textId="77777777" w:rsidR="00D303BF" w:rsidRPr="00977EE1" w:rsidRDefault="00D303BF" w:rsidP="00D303BF">
      <w:pPr>
        <w:spacing w:after="0" w:line="240" w:lineRule="auto"/>
        <w:jc w:val="both"/>
        <w:rPr>
          <w:rFonts w:ascii="Garamond" w:hAnsi="Garamond" w:cstheme="minorHAnsi"/>
        </w:rPr>
      </w:pPr>
    </w:p>
    <w:p w14:paraId="7430012E" w14:textId="77777777" w:rsidR="00D303BF" w:rsidRPr="00977EE1" w:rsidRDefault="00D303BF" w:rsidP="00D303BF">
      <w:pPr>
        <w:pStyle w:val="Paragraphedeliste"/>
        <w:numPr>
          <w:ilvl w:val="0"/>
          <w:numId w:val="18"/>
        </w:numPr>
        <w:spacing w:after="0" w:line="240" w:lineRule="auto"/>
        <w:jc w:val="both"/>
        <w:rPr>
          <w:rFonts w:ascii="Garamond" w:hAnsi="Garamond" w:cstheme="minorHAnsi"/>
        </w:rPr>
      </w:pPr>
      <w:proofErr w:type="gramStart"/>
      <w:r w:rsidRPr="00977EE1">
        <w:rPr>
          <w:rFonts w:ascii="Garamond" w:hAnsi="Garamond" w:cstheme="minorHAnsi"/>
        </w:rPr>
        <w:t>elle</w:t>
      </w:r>
      <w:proofErr w:type="gramEnd"/>
      <w:r w:rsidRPr="00977EE1">
        <w:rPr>
          <w:rFonts w:ascii="Garamond" w:hAnsi="Garamond" w:cstheme="minorHAnsi"/>
        </w:rPr>
        <w:t xml:space="preserve"> communique des informations aux locataires des actifs pour les informer de leurs obligations respectives (par le biais de courriers d’information) ;</w:t>
      </w:r>
    </w:p>
    <w:p w14:paraId="70AA444F" w14:textId="77777777" w:rsidR="00D303BF" w:rsidRPr="00977EE1" w:rsidRDefault="00D303BF" w:rsidP="00D303BF">
      <w:pPr>
        <w:spacing w:after="0" w:line="240" w:lineRule="auto"/>
        <w:jc w:val="both"/>
        <w:rPr>
          <w:rFonts w:ascii="Garamond" w:hAnsi="Garamond" w:cstheme="minorHAnsi"/>
        </w:rPr>
      </w:pPr>
    </w:p>
    <w:p w14:paraId="4F0B7B9E" w14:textId="77777777" w:rsidR="00D303BF" w:rsidRPr="00977EE1" w:rsidRDefault="00D303BF" w:rsidP="00D303BF">
      <w:pPr>
        <w:pStyle w:val="Paragraphedeliste"/>
        <w:numPr>
          <w:ilvl w:val="0"/>
          <w:numId w:val="18"/>
        </w:numPr>
        <w:spacing w:after="0" w:line="240" w:lineRule="auto"/>
        <w:jc w:val="both"/>
        <w:rPr>
          <w:rFonts w:ascii="Garamond" w:hAnsi="Garamond" w:cstheme="minorHAnsi"/>
        </w:rPr>
      </w:pPr>
      <w:proofErr w:type="gramStart"/>
      <w:r w:rsidRPr="00977EE1">
        <w:rPr>
          <w:rFonts w:ascii="Garamond" w:hAnsi="Garamond" w:cstheme="minorHAnsi"/>
        </w:rPr>
        <w:t>elle</w:t>
      </w:r>
      <w:proofErr w:type="gramEnd"/>
      <w:r w:rsidRPr="00977EE1">
        <w:rPr>
          <w:rFonts w:ascii="Garamond" w:hAnsi="Garamond" w:cstheme="minorHAnsi"/>
        </w:rPr>
        <w:t xml:space="preserve"> remet en conformité des actifs immobiliers et sa stratégie d’investissement pour s’aligner sur les objectifs des Accords de Paris. </w:t>
      </w:r>
    </w:p>
    <w:p w14:paraId="06922C0D" w14:textId="77777777" w:rsidR="00D303BF" w:rsidRPr="00D303BF" w:rsidRDefault="00D303BF" w:rsidP="00D303BF">
      <w:pPr>
        <w:spacing w:after="0" w:line="240" w:lineRule="auto"/>
        <w:jc w:val="both"/>
        <w:rPr>
          <w:rFonts w:ascii="Garamond" w:hAnsi="Garamond" w:cstheme="minorHAnsi"/>
        </w:rPr>
      </w:pPr>
    </w:p>
    <w:p w14:paraId="30B0A56C" w14:textId="6137E9B2" w:rsidR="00D303BF" w:rsidRPr="00D303BF" w:rsidRDefault="00D303BF" w:rsidP="00D303BF">
      <w:pPr>
        <w:spacing w:after="0" w:line="240" w:lineRule="auto"/>
        <w:jc w:val="both"/>
        <w:rPr>
          <w:rFonts w:ascii="Garamond" w:hAnsi="Garamond" w:cstheme="minorHAnsi"/>
        </w:rPr>
      </w:pPr>
      <w:r w:rsidRPr="00D303BF">
        <w:rPr>
          <w:rFonts w:ascii="Garamond" w:hAnsi="Garamond" w:cstheme="minorHAnsi"/>
        </w:rPr>
        <w:t xml:space="preserve">Ainsi, </w:t>
      </w:r>
      <w:r w:rsidR="0088554E">
        <w:rPr>
          <w:rFonts w:ascii="Garamond" w:hAnsi="Garamond" w:cstheme="minorHAnsi"/>
        </w:rPr>
        <w:t>INOVALIS S.A.</w:t>
      </w:r>
      <w:r w:rsidRPr="00D303BF">
        <w:rPr>
          <w:rFonts w:ascii="Garamond" w:hAnsi="Garamond" w:cstheme="minorHAnsi"/>
        </w:rPr>
        <w:t xml:space="preserve"> a développé une stratégie d’alignement sur les objectifs des Accords de </w:t>
      </w:r>
      <w:r w:rsidRPr="00B026A2">
        <w:rPr>
          <w:rFonts w:ascii="Garamond" w:hAnsi="Garamond" w:cstheme="minorHAnsi"/>
        </w:rPr>
        <w:t>Paris dans le but de réduire les consommations énergétiques des actifs immobiliers détenus par ses OPC sous gestion</w:t>
      </w:r>
      <w:r w:rsidR="00977EE1" w:rsidRPr="00B026A2">
        <w:rPr>
          <w:rFonts w:ascii="Garamond" w:hAnsi="Garamond" w:cstheme="minorHAnsi"/>
        </w:rPr>
        <w:t>.</w:t>
      </w:r>
      <w:r w:rsidR="00977EE1">
        <w:rPr>
          <w:rFonts w:ascii="Garamond" w:hAnsi="Garamond" w:cstheme="minorHAnsi"/>
        </w:rPr>
        <w:t xml:space="preserve"> </w:t>
      </w:r>
    </w:p>
    <w:p w14:paraId="03C6EAA4" w14:textId="77777777" w:rsidR="00D303BF" w:rsidRPr="00D303BF" w:rsidRDefault="00D303BF" w:rsidP="00D303BF">
      <w:pPr>
        <w:spacing w:after="0" w:line="240" w:lineRule="auto"/>
        <w:jc w:val="both"/>
        <w:rPr>
          <w:rFonts w:ascii="Garamond" w:hAnsi="Garamond" w:cstheme="minorHAnsi"/>
        </w:rPr>
      </w:pPr>
    </w:p>
    <w:p w14:paraId="01245738" w14:textId="710FD458" w:rsidR="00D303BF" w:rsidRPr="00D303BF" w:rsidRDefault="00D303BF" w:rsidP="00D303BF">
      <w:pPr>
        <w:spacing w:after="0" w:line="240" w:lineRule="auto"/>
        <w:jc w:val="both"/>
        <w:rPr>
          <w:rFonts w:ascii="Garamond" w:hAnsi="Garamond" w:cstheme="minorHAnsi"/>
        </w:rPr>
      </w:pPr>
      <w:r w:rsidRPr="00D303BF">
        <w:rPr>
          <w:rFonts w:ascii="Garamond" w:hAnsi="Garamond" w:cstheme="minorHAnsi"/>
        </w:rPr>
        <w:t xml:space="preserve">Parallèlement, </w:t>
      </w:r>
      <w:r w:rsidR="0088554E">
        <w:rPr>
          <w:rFonts w:ascii="Garamond" w:hAnsi="Garamond" w:cstheme="minorHAnsi"/>
        </w:rPr>
        <w:t>INOVALIS S.A.</w:t>
      </w:r>
      <w:r w:rsidRPr="00D303BF">
        <w:rPr>
          <w:rFonts w:ascii="Garamond" w:hAnsi="Garamond" w:cstheme="minorHAnsi"/>
        </w:rPr>
        <w:t xml:space="preserve"> a procédé à une analyse de l’ensemble des actifs immobiliers détenus par ses OPCI sous gestion afin d’évaluer celui-ci par rapport aux trajectoires de décarbonisation à horizon 2050 toujours prévues dans le cadre des Accords de Paris. </w:t>
      </w:r>
    </w:p>
    <w:p w14:paraId="22B28D8F" w14:textId="390D328C" w:rsidR="00D303BF" w:rsidRDefault="00D303BF" w:rsidP="00D303BF">
      <w:pPr>
        <w:spacing w:after="0" w:line="240" w:lineRule="auto"/>
        <w:jc w:val="both"/>
        <w:rPr>
          <w:rFonts w:ascii="Garamond" w:hAnsi="Garamond" w:cstheme="minorHAnsi"/>
        </w:rPr>
      </w:pPr>
    </w:p>
    <w:p w14:paraId="4A58F961" w14:textId="77777777" w:rsidR="00B026A2" w:rsidRPr="00D303BF" w:rsidRDefault="00B026A2" w:rsidP="00D303BF">
      <w:pPr>
        <w:spacing w:after="0" w:line="240" w:lineRule="auto"/>
        <w:jc w:val="both"/>
        <w:rPr>
          <w:rFonts w:ascii="Garamond" w:hAnsi="Garamond" w:cstheme="minorHAnsi"/>
          <w:b/>
          <w:bCs/>
        </w:rPr>
      </w:pPr>
    </w:p>
    <w:p w14:paraId="4D9AFBCD" w14:textId="6A67A6C7" w:rsidR="00D303BF" w:rsidRPr="004442BA" w:rsidRDefault="004442BA" w:rsidP="004442BA">
      <w:pPr>
        <w:pStyle w:val="Titre1"/>
        <w:numPr>
          <w:ilvl w:val="0"/>
          <w:numId w:val="37"/>
        </w:numPr>
        <w:jc w:val="both"/>
      </w:pPr>
      <w:bookmarkStart w:id="18" w:name="_Toc139619613"/>
      <w:r w:rsidRPr="004442BA">
        <w:t>Stratégie d'alignement avec les objectifs de long terme liés à la biodiversité</w:t>
      </w:r>
      <w:bookmarkEnd w:id="18"/>
    </w:p>
    <w:p w14:paraId="0EDF1F86" w14:textId="77777777" w:rsidR="00D303BF" w:rsidRPr="00D303BF" w:rsidRDefault="00D303BF" w:rsidP="00D303BF">
      <w:pPr>
        <w:spacing w:after="0" w:line="240" w:lineRule="auto"/>
        <w:jc w:val="both"/>
        <w:rPr>
          <w:rFonts w:ascii="Garamond" w:hAnsi="Garamond" w:cstheme="minorHAnsi"/>
        </w:rPr>
      </w:pPr>
    </w:p>
    <w:p w14:paraId="20C91B6B" w14:textId="21ECE5ED" w:rsidR="00D303BF" w:rsidRPr="00D303BF" w:rsidRDefault="0088554E" w:rsidP="00D303BF">
      <w:pPr>
        <w:spacing w:after="0" w:line="240" w:lineRule="auto"/>
        <w:jc w:val="both"/>
        <w:rPr>
          <w:rFonts w:ascii="Garamond" w:hAnsi="Garamond" w:cstheme="minorHAnsi"/>
        </w:rPr>
      </w:pPr>
      <w:r>
        <w:rPr>
          <w:rFonts w:ascii="Garamond" w:hAnsi="Garamond" w:cstheme="minorHAnsi"/>
        </w:rPr>
        <w:t>INOVALIS S.A.</w:t>
      </w:r>
      <w:r w:rsidR="00D303BF" w:rsidRPr="00D303BF">
        <w:rPr>
          <w:rFonts w:ascii="Garamond" w:hAnsi="Garamond" w:cstheme="minorHAnsi"/>
        </w:rPr>
        <w:t xml:space="preserve"> est pleinement consciente que la lutte pour la préservation de la biodiversité constitue un enjeu majeur pour les gestionnaires d’actifs, notamment immobiliers, au même titre que le climat.</w:t>
      </w:r>
    </w:p>
    <w:p w14:paraId="5E2D9323" w14:textId="77777777" w:rsidR="00D303BF" w:rsidRPr="00D303BF" w:rsidRDefault="00D303BF" w:rsidP="00D303BF">
      <w:pPr>
        <w:spacing w:after="0" w:line="240" w:lineRule="auto"/>
        <w:jc w:val="both"/>
        <w:rPr>
          <w:rFonts w:ascii="Garamond" w:hAnsi="Garamond" w:cstheme="minorHAnsi"/>
        </w:rPr>
      </w:pPr>
    </w:p>
    <w:p w14:paraId="1572998F" w14:textId="77777777" w:rsidR="00D303BF" w:rsidRPr="00D303BF" w:rsidRDefault="00D303BF" w:rsidP="00D303BF">
      <w:pPr>
        <w:spacing w:after="0" w:line="240" w:lineRule="auto"/>
        <w:jc w:val="both"/>
        <w:rPr>
          <w:rFonts w:ascii="Garamond" w:hAnsi="Garamond" w:cstheme="minorHAnsi"/>
        </w:rPr>
      </w:pPr>
      <w:r w:rsidRPr="00D303BF">
        <w:rPr>
          <w:rFonts w:ascii="Garamond" w:hAnsi="Garamond" w:cstheme="minorHAnsi"/>
        </w:rPr>
        <w:lastRenderedPageBreak/>
        <w:t>A ce titre, la gestion des immeubles détenus par les OPCI sous gestion ainsi que leur rénovation favorisent le développement d’espaces verts plus généreux, plus diversifiés et favorisant les essences locales.</w:t>
      </w:r>
    </w:p>
    <w:p w14:paraId="6879AF61" w14:textId="77777777" w:rsidR="00D303BF" w:rsidRPr="00D303BF" w:rsidRDefault="00D303BF" w:rsidP="00D303BF">
      <w:pPr>
        <w:spacing w:after="0" w:line="240" w:lineRule="auto"/>
        <w:jc w:val="both"/>
        <w:rPr>
          <w:rFonts w:ascii="Garamond" w:hAnsi="Garamond" w:cstheme="minorHAnsi"/>
        </w:rPr>
      </w:pPr>
    </w:p>
    <w:p w14:paraId="1F4A116E" w14:textId="4E7D9517" w:rsidR="00D303BF" w:rsidRPr="00D303BF" w:rsidRDefault="00D303BF" w:rsidP="00D303BF">
      <w:pPr>
        <w:spacing w:after="0" w:line="240" w:lineRule="auto"/>
        <w:jc w:val="both"/>
        <w:rPr>
          <w:rFonts w:ascii="Garamond" w:hAnsi="Garamond" w:cstheme="minorHAnsi"/>
        </w:rPr>
      </w:pPr>
      <w:r w:rsidRPr="00D303BF">
        <w:rPr>
          <w:rFonts w:ascii="Garamond" w:hAnsi="Garamond" w:cstheme="minorHAnsi"/>
        </w:rPr>
        <w:t xml:space="preserve">Toutefois, </w:t>
      </w:r>
      <w:r w:rsidR="0088554E">
        <w:rPr>
          <w:rFonts w:ascii="Garamond" w:hAnsi="Garamond" w:cstheme="minorHAnsi"/>
        </w:rPr>
        <w:t>INOVALIS S.A.</w:t>
      </w:r>
      <w:r w:rsidRPr="00D303BF">
        <w:rPr>
          <w:rFonts w:ascii="Garamond" w:hAnsi="Garamond" w:cstheme="minorHAnsi"/>
        </w:rPr>
        <w:t xml:space="preserve"> estime qu’il n’existe pas, à ce jour, de consensus sur les indicateurs à utiliser en vue de mesurer les impacts sur la biodiversité de ses activités. Dans ce cadre, </w:t>
      </w:r>
      <w:r w:rsidR="0088554E">
        <w:rPr>
          <w:rFonts w:ascii="Garamond" w:hAnsi="Garamond" w:cstheme="minorHAnsi"/>
        </w:rPr>
        <w:t>INOVALIS S.A.</w:t>
      </w:r>
      <w:r w:rsidRPr="00D303BF">
        <w:rPr>
          <w:rFonts w:ascii="Garamond" w:hAnsi="Garamond" w:cstheme="minorHAnsi"/>
        </w:rPr>
        <w:t xml:space="preserve"> n’a, pour le moment, pas mis en place de stratégie d’alignement avec les objectifs de long terme liés à la biodiversité, ni mené d’analyse précise de sa contribution à la réduction des principales pressions et impacts sur </w:t>
      </w:r>
      <w:r w:rsidR="004442BA" w:rsidRPr="00D303BF">
        <w:rPr>
          <w:rFonts w:ascii="Garamond" w:hAnsi="Garamond" w:cstheme="minorHAnsi"/>
        </w:rPr>
        <w:t>la biodiversité induite</w:t>
      </w:r>
      <w:r w:rsidRPr="00D303BF">
        <w:rPr>
          <w:rFonts w:ascii="Garamond" w:hAnsi="Garamond" w:cstheme="minorHAnsi"/>
        </w:rPr>
        <w:t xml:space="preserve"> par la mise en œuvre de ses stratégies d’investissement. La société mène toutefois une réflexion pour intégrer, à l’avenir, le traitement de la biodiversité dans ses politiques d’investissement.</w:t>
      </w:r>
    </w:p>
    <w:p w14:paraId="778B5FBB" w14:textId="77777777" w:rsidR="00D303BF" w:rsidRPr="00D303BF" w:rsidRDefault="00D303BF" w:rsidP="00D303BF">
      <w:pPr>
        <w:spacing w:after="0" w:line="240" w:lineRule="auto"/>
        <w:jc w:val="both"/>
        <w:rPr>
          <w:rFonts w:ascii="Garamond" w:hAnsi="Garamond" w:cstheme="minorHAnsi"/>
        </w:rPr>
      </w:pPr>
    </w:p>
    <w:p w14:paraId="1D8EE8FC" w14:textId="77777777" w:rsidR="00D303BF" w:rsidRPr="00D303BF" w:rsidRDefault="00D303BF" w:rsidP="00D303BF">
      <w:pPr>
        <w:pStyle w:val="Paragraphedeliste"/>
        <w:spacing w:after="0" w:line="240" w:lineRule="auto"/>
        <w:jc w:val="both"/>
        <w:rPr>
          <w:rFonts w:ascii="Garamond" w:hAnsi="Garamond" w:cstheme="minorHAnsi"/>
          <w:color w:val="000000"/>
          <w:shd w:val="clear" w:color="auto" w:fill="FFFFFF"/>
        </w:rPr>
      </w:pPr>
    </w:p>
    <w:p w14:paraId="6B3D0FE8" w14:textId="77777777" w:rsidR="004442BA" w:rsidRPr="004442BA" w:rsidRDefault="004442BA" w:rsidP="004442BA">
      <w:pPr>
        <w:pStyle w:val="Titre1"/>
        <w:numPr>
          <w:ilvl w:val="0"/>
          <w:numId w:val="37"/>
        </w:numPr>
        <w:jc w:val="both"/>
      </w:pPr>
      <w:bookmarkStart w:id="19" w:name="_Toc139619614"/>
      <w:r w:rsidRPr="004442BA">
        <w:t>Démarche de prise en compte des critères environnementaux, sociaux et de qualité de gouvernance dans la gestion des risques, notamment les risques physiques, de transition et de responsabilité liés au changement climatique et à la biodiversité</w:t>
      </w:r>
      <w:bookmarkEnd w:id="19"/>
    </w:p>
    <w:p w14:paraId="48C37621" w14:textId="3E242029" w:rsidR="00D303BF" w:rsidRDefault="00D303BF" w:rsidP="00D303BF">
      <w:pPr>
        <w:pStyle w:val="Paragraphedeliste"/>
        <w:spacing w:after="0" w:line="240" w:lineRule="auto"/>
        <w:ind w:left="0"/>
        <w:jc w:val="both"/>
        <w:rPr>
          <w:rFonts w:ascii="Garamond" w:hAnsi="Garamond" w:cstheme="minorHAnsi"/>
          <w:b/>
          <w:bCs/>
        </w:rPr>
      </w:pPr>
    </w:p>
    <w:p w14:paraId="0AF2A6AE" w14:textId="77777777" w:rsidR="002B4F61" w:rsidRPr="00D303BF" w:rsidRDefault="002B4F61" w:rsidP="00D303BF">
      <w:pPr>
        <w:pStyle w:val="Paragraphedeliste"/>
        <w:spacing w:after="0" w:line="240" w:lineRule="auto"/>
        <w:ind w:left="0"/>
        <w:jc w:val="both"/>
        <w:rPr>
          <w:rFonts w:ascii="Garamond" w:hAnsi="Garamond" w:cstheme="minorHAnsi"/>
          <w:b/>
          <w:bCs/>
        </w:rPr>
      </w:pPr>
    </w:p>
    <w:p w14:paraId="0D979CA5" w14:textId="17F1316D" w:rsidR="00D303BF" w:rsidRPr="00D303BF" w:rsidRDefault="00D303BF" w:rsidP="00D303BF">
      <w:pPr>
        <w:spacing w:after="0" w:line="240" w:lineRule="auto"/>
        <w:jc w:val="both"/>
        <w:rPr>
          <w:rFonts w:ascii="Garamond" w:hAnsi="Garamond"/>
        </w:rPr>
      </w:pPr>
      <w:r w:rsidRPr="00D303BF">
        <w:rPr>
          <w:rFonts w:ascii="Garamond" w:hAnsi="Garamond"/>
        </w:rPr>
        <w:t xml:space="preserve">Pour rappel, dans le cadre des stratégies de gestion qu’elle met en œuvre, </w:t>
      </w:r>
      <w:r w:rsidR="0088554E">
        <w:rPr>
          <w:rFonts w:ascii="Garamond" w:hAnsi="Garamond"/>
        </w:rPr>
        <w:t>INOVALIS S.A.</w:t>
      </w:r>
      <w:r w:rsidRPr="00D303BF">
        <w:rPr>
          <w:rFonts w:ascii="Garamond" w:hAnsi="Garamond"/>
        </w:rPr>
        <w:t xml:space="preserve"> tient compte, à la fois des risques financiers (incluant, notamment, les risques de marché, de liquidité et de contrepartie), des risques opérationnels, des risques de non-conformité et, dans l’hypothèse où ils sont pertinents, de risques extra-financiers qui sont susceptibles d’avoir un impact sur les autres risques.</w:t>
      </w:r>
    </w:p>
    <w:p w14:paraId="0C611274" w14:textId="77777777" w:rsidR="00D303BF" w:rsidRPr="00D303BF" w:rsidRDefault="00D303BF" w:rsidP="00D303BF">
      <w:pPr>
        <w:spacing w:after="0" w:line="240" w:lineRule="auto"/>
        <w:jc w:val="both"/>
        <w:rPr>
          <w:rFonts w:ascii="Garamond" w:hAnsi="Garamond"/>
        </w:rPr>
      </w:pPr>
    </w:p>
    <w:p w14:paraId="030D9B93" w14:textId="323CFCF0" w:rsidR="00D303BF" w:rsidRPr="00D303BF" w:rsidRDefault="00D303BF" w:rsidP="00D303BF">
      <w:pPr>
        <w:spacing w:after="0" w:line="240" w:lineRule="auto"/>
        <w:jc w:val="both"/>
        <w:rPr>
          <w:rFonts w:ascii="Garamond" w:hAnsi="Garamond"/>
        </w:rPr>
      </w:pPr>
      <w:r w:rsidRPr="00D303BF">
        <w:rPr>
          <w:rFonts w:ascii="Garamond" w:hAnsi="Garamond"/>
        </w:rPr>
        <w:t xml:space="preserve">Les risques extra-financiers, lorsqu’ils sont pertinents, sont identifiés, évalués et priorisés par la fonction en charge de la gestion des risques de </w:t>
      </w:r>
      <w:r w:rsidR="0088554E">
        <w:rPr>
          <w:rFonts w:ascii="Garamond" w:hAnsi="Garamond"/>
        </w:rPr>
        <w:t>INOVALIS S.A</w:t>
      </w:r>
      <w:r w:rsidRPr="00D303BF">
        <w:rPr>
          <w:rFonts w:ascii="Garamond" w:hAnsi="Garamond"/>
        </w:rPr>
        <w:t>.</w:t>
      </w:r>
    </w:p>
    <w:p w14:paraId="3C16090E" w14:textId="77777777" w:rsidR="00D303BF" w:rsidRPr="00D303BF" w:rsidRDefault="00D303BF" w:rsidP="00D303BF">
      <w:pPr>
        <w:spacing w:after="0" w:line="240" w:lineRule="auto"/>
        <w:jc w:val="both"/>
        <w:rPr>
          <w:rFonts w:ascii="Garamond" w:hAnsi="Garamond"/>
        </w:rPr>
      </w:pPr>
    </w:p>
    <w:p w14:paraId="34662FD6" w14:textId="0C701622" w:rsidR="00D303BF" w:rsidRPr="00D303BF" w:rsidRDefault="00D303BF" w:rsidP="00D303BF">
      <w:pPr>
        <w:spacing w:after="0" w:line="240" w:lineRule="auto"/>
        <w:jc w:val="both"/>
        <w:rPr>
          <w:rFonts w:ascii="Garamond" w:hAnsi="Garamond"/>
        </w:rPr>
      </w:pPr>
      <w:r w:rsidRPr="00D303BF">
        <w:rPr>
          <w:rFonts w:ascii="Garamond" w:hAnsi="Garamond"/>
        </w:rPr>
        <w:t xml:space="preserve">Les facteurs de durabilité peuvent être analysés, selon les cas, au sein de </w:t>
      </w:r>
      <w:r w:rsidR="0088554E">
        <w:rPr>
          <w:rFonts w:ascii="Garamond" w:hAnsi="Garamond"/>
        </w:rPr>
        <w:t>INOVALIS S.A.</w:t>
      </w:r>
      <w:r w:rsidRPr="00D303BF">
        <w:rPr>
          <w:rFonts w:ascii="Garamond" w:hAnsi="Garamond"/>
        </w:rPr>
        <w:t xml:space="preserve"> par les équipes </w:t>
      </w:r>
      <w:r w:rsidR="004442BA">
        <w:rPr>
          <w:rFonts w:ascii="Garamond" w:hAnsi="Garamond"/>
        </w:rPr>
        <w:t>Acquisition et Asset Management</w:t>
      </w:r>
      <w:r w:rsidRPr="00D303BF">
        <w:rPr>
          <w:rFonts w:ascii="Garamond" w:hAnsi="Garamond"/>
        </w:rPr>
        <w:t xml:space="preserve">. </w:t>
      </w:r>
      <w:r w:rsidR="007F77A9">
        <w:rPr>
          <w:rFonts w:ascii="Garamond" w:hAnsi="Garamond"/>
        </w:rPr>
        <w:t>Dans ce contexte la société de gestion peut également avoir recours à des audits d’expertise. Les analyses</w:t>
      </w:r>
      <w:r w:rsidRPr="00D303BF">
        <w:rPr>
          <w:rFonts w:ascii="Garamond" w:hAnsi="Garamond"/>
        </w:rPr>
        <w:t xml:space="preserve"> menée</w:t>
      </w:r>
      <w:r w:rsidR="007F77A9">
        <w:rPr>
          <w:rFonts w:ascii="Garamond" w:hAnsi="Garamond"/>
        </w:rPr>
        <w:t>s</w:t>
      </w:r>
      <w:r w:rsidRPr="00D303BF">
        <w:rPr>
          <w:rFonts w:ascii="Garamond" w:hAnsi="Garamond"/>
        </w:rPr>
        <w:t xml:space="preserve"> </w:t>
      </w:r>
      <w:r w:rsidR="007F77A9">
        <w:rPr>
          <w:rFonts w:ascii="Garamond" w:hAnsi="Garamond"/>
        </w:rPr>
        <w:t>peuvent</w:t>
      </w:r>
      <w:r w:rsidRPr="00D303BF">
        <w:rPr>
          <w:rFonts w:ascii="Garamond" w:hAnsi="Garamond"/>
        </w:rPr>
        <w:t xml:space="preserve"> ainsi enrichir l’analyse financière traditionnelle et aboutir à des recommandations ou à des avertissements à destination des gérants, émis en amont de toute prise de décision d’investissement. Les résultats des analyses des risques en général et des risques en matière de durabilité en particulier sont dûment documentés.</w:t>
      </w:r>
    </w:p>
    <w:p w14:paraId="4F45F5BD" w14:textId="77777777" w:rsidR="00D303BF" w:rsidRPr="00D303BF" w:rsidRDefault="00D303BF" w:rsidP="00D303BF">
      <w:pPr>
        <w:spacing w:after="0" w:line="240" w:lineRule="auto"/>
        <w:jc w:val="both"/>
        <w:rPr>
          <w:rFonts w:ascii="Garamond" w:hAnsi="Garamond"/>
        </w:rPr>
      </w:pPr>
    </w:p>
    <w:p w14:paraId="49F13B10" w14:textId="59BD176F" w:rsidR="00D303BF" w:rsidRPr="00D303BF" w:rsidRDefault="00D303BF" w:rsidP="00D303BF">
      <w:pPr>
        <w:spacing w:after="0" w:line="240" w:lineRule="auto"/>
        <w:jc w:val="both"/>
        <w:rPr>
          <w:rFonts w:ascii="Garamond" w:hAnsi="Garamond"/>
        </w:rPr>
      </w:pPr>
      <w:r w:rsidRPr="007F77A9">
        <w:rPr>
          <w:rFonts w:ascii="Garamond" w:hAnsi="Garamond"/>
        </w:rPr>
        <w:t xml:space="preserve">Postérieurement à la décision d’investissement, les gérants de </w:t>
      </w:r>
      <w:r w:rsidR="0088554E" w:rsidRPr="007F77A9">
        <w:rPr>
          <w:rFonts w:ascii="Garamond" w:hAnsi="Garamond"/>
        </w:rPr>
        <w:t>INOVALIS S.A.</w:t>
      </w:r>
      <w:r w:rsidRPr="007F77A9">
        <w:rPr>
          <w:rFonts w:ascii="Garamond" w:hAnsi="Garamond"/>
        </w:rPr>
        <w:t xml:space="preserve"> échangent, à fréquence régulière, avec les </w:t>
      </w:r>
      <w:r w:rsidR="007F77A9">
        <w:rPr>
          <w:rFonts w:ascii="Garamond" w:hAnsi="Garamond"/>
        </w:rPr>
        <w:t>A</w:t>
      </w:r>
      <w:r w:rsidRPr="007F77A9">
        <w:rPr>
          <w:rFonts w:ascii="Garamond" w:hAnsi="Garamond"/>
        </w:rPr>
        <w:t xml:space="preserve">sset et </w:t>
      </w:r>
      <w:r w:rsidR="007F77A9">
        <w:rPr>
          <w:rFonts w:ascii="Garamond" w:hAnsi="Garamond"/>
        </w:rPr>
        <w:t>P</w:t>
      </w:r>
      <w:r w:rsidRPr="007F77A9">
        <w:rPr>
          <w:rFonts w:ascii="Garamond" w:hAnsi="Garamond"/>
        </w:rPr>
        <w:t xml:space="preserve">roperty </w:t>
      </w:r>
      <w:r w:rsidR="001925B4">
        <w:rPr>
          <w:rFonts w:ascii="Garamond" w:hAnsi="Garamond"/>
        </w:rPr>
        <w:t>M</w:t>
      </w:r>
      <w:r w:rsidRPr="007F77A9">
        <w:rPr>
          <w:rFonts w:ascii="Garamond" w:hAnsi="Garamond"/>
        </w:rPr>
        <w:t xml:space="preserve">anagers avec pour objectifs, dans certains cas, d’optimiser la performance financière et en matière de durabilité des actifs immobiliers acquis pour le compte des fonds d’investissement gérés. Le but poursuivi par </w:t>
      </w:r>
      <w:r w:rsidR="0088554E" w:rsidRPr="007F77A9">
        <w:rPr>
          <w:rFonts w:ascii="Garamond" w:hAnsi="Garamond"/>
        </w:rPr>
        <w:t>INOVALIS S.A.</w:t>
      </w:r>
      <w:r w:rsidRPr="007F77A9">
        <w:rPr>
          <w:rFonts w:ascii="Garamond" w:hAnsi="Garamond"/>
        </w:rPr>
        <w:t xml:space="preserve"> est ainsi de valoriser ses portefeuilles de manière active pour saisir les opportunités pertinentes vis-à-vis des stratégies de gestion qu’elle met en œuvre, tout en tenant compte des facteurs de durabilité sous-réserve que ceux-ci soient pertinents.</w:t>
      </w:r>
    </w:p>
    <w:p w14:paraId="0C5A6293" w14:textId="77777777" w:rsidR="00D303BF" w:rsidRPr="00D303BF" w:rsidRDefault="00D303BF" w:rsidP="00D303BF">
      <w:pPr>
        <w:spacing w:after="0" w:line="240" w:lineRule="auto"/>
        <w:jc w:val="both"/>
        <w:rPr>
          <w:rFonts w:ascii="Garamond" w:hAnsi="Garamond" w:cstheme="minorHAnsi"/>
          <w:b/>
          <w:bCs/>
        </w:rPr>
      </w:pPr>
    </w:p>
    <w:p w14:paraId="1CC5E126" w14:textId="77777777" w:rsidR="005262DD" w:rsidRPr="00C072FB" w:rsidRDefault="005262DD" w:rsidP="00C072FB">
      <w:pPr>
        <w:spacing w:after="0"/>
        <w:rPr>
          <w:rFonts w:ascii="Garamond" w:hAnsi="Garamond"/>
        </w:rPr>
      </w:pPr>
    </w:p>
    <w:p w14:paraId="09EB83C7" w14:textId="52CF0429" w:rsidR="004825B6" w:rsidRPr="00D303BF" w:rsidRDefault="004825B6" w:rsidP="004825B6">
      <w:pPr>
        <w:pStyle w:val="Titre1"/>
        <w:numPr>
          <w:ilvl w:val="0"/>
          <w:numId w:val="37"/>
        </w:numPr>
        <w:jc w:val="both"/>
      </w:pPr>
      <w:bookmarkStart w:id="20" w:name="_Toc139619615"/>
      <w:r w:rsidRPr="00D303BF">
        <w:lastRenderedPageBreak/>
        <w:t>Liste des FIA sous gestion répondant à la définition des fonds article 8 et 9 du Règlement SFDR</w:t>
      </w:r>
      <w:bookmarkEnd w:id="20"/>
    </w:p>
    <w:p w14:paraId="2B2B0E02" w14:textId="77777777" w:rsidR="004825B6" w:rsidRPr="00D303BF" w:rsidRDefault="004825B6" w:rsidP="004825B6">
      <w:pPr>
        <w:spacing w:after="0" w:line="240" w:lineRule="auto"/>
        <w:jc w:val="both"/>
        <w:rPr>
          <w:rFonts w:ascii="Garamond" w:hAnsi="Garamond" w:cstheme="minorHAnsi"/>
        </w:rPr>
      </w:pPr>
    </w:p>
    <w:p w14:paraId="2DC53CB8" w14:textId="033198C6" w:rsidR="004825B6" w:rsidRPr="00D303BF" w:rsidRDefault="004825B6" w:rsidP="004825B6">
      <w:pPr>
        <w:spacing w:after="0" w:line="240" w:lineRule="auto"/>
        <w:jc w:val="both"/>
        <w:rPr>
          <w:rFonts w:ascii="Garamond" w:hAnsi="Garamond" w:cstheme="minorHAnsi"/>
        </w:rPr>
      </w:pPr>
      <w:r w:rsidRPr="004825B6">
        <w:rPr>
          <w:rFonts w:ascii="Garamond" w:hAnsi="Garamond" w:cstheme="minorHAnsi"/>
        </w:rPr>
        <w:t xml:space="preserve">La gamme des fonds actuellement gérés par INOVALIS S.A. comprend deux organismes professionnels de placement collectifs en immobilier et fonds d’investissement immobilier de droit luxembourgeois. Aucun de ces véhicules ne répond aux conditions des articles 8 et 9 du règlement </w:t>
      </w:r>
      <w:r w:rsidRPr="004825B6">
        <w:rPr>
          <w:rFonts w:ascii="Garamond" w:hAnsi="Garamond"/>
        </w:rPr>
        <w:t>(UE) 2019/2088 du Parlement européen et du Conseil du 27 novembre 2019 (« </w:t>
      </w:r>
      <w:r w:rsidRPr="004825B6">
        <w:rPr>
          <w:rFonts w:ascii="Garamond" w:hAnsi="Garamond"/>
          <w:b/>
          <w:bCs/>
        </w:rPr>
        <w:t>SFDR</w:t>
      </w:r>
      <w:r w:rsidRPr="004825B6">
        <w:rPr>
          <w:rFonts w:ascii="Garamond" w:hAnsi="Garamond"/>
        </w:rPr>
        <w:t> »)</w:t>
      </w:r>
      <w:r w:rsidRPr="004825B6">
        <w:rPr>
          <w:rFonts w:ascii="Garamond" w:hAnsi="Garamond" w:cstheme="minorHAnsi"/>
        </w:rPr>
        <w:t>.</w:t>
      </w:r>
      <w:r w:rsidR="0068789A">
        <w:rPr>
          <w:rFonts w:ascii="Garamond" w:hAnsi="Garamond" w:cstheme="minorHAnsi"/>
        </w:rPr>
        <w:t xml:space="preserve"> Ces fonds sont tous classifiés en article 6 au sens de la règlementation SFDR. </w:t>
      </w:r>
    </w:p>
    <w:p w14:paraId="02B71818" w14:textId="77777777" w:rsidR="004825B6" w:rsidRPr="00D303BF" w:rsidRDefault="004825B6" w:rsidP="004825B6">
      <w:pPr>
        <w:spacing w:after="0" w:line="240" w:lineRule="auto"/>
        <w:jc w:val="both"/>
        <w:rPr>
          <w:rFonts w:ascii="Garamond" w:hAnsi="Garamond" w:cstheme="minorHAnsi"/>
        </w:rPr>
      </w:pPr>
    </w:p>
    <w:p w14:paraId="4523FB81" w14:textId="77777777" w:rsidR="004825B6" w:rsidRPr="00D303BF" w:rsidRDefault="004825B6" w:rsidP="004825B6">
      <w:pPr>
        <w:spacing w:after="0" w:line="240" w:lineRule="auto"/>
        <w:jc w:val="both"/>
        <w:rPr>
          <w:rFonts w:ascii="Garamond" w:hAnsi="Garamond" w:cstheme="minorHAnsi"/>
        </w:rPr>
      </w:pPr>
      <w:r w:rsidRPr="00D303BF">
        <w:rPr>
          <w:rFonts w:ascii="Garamond" w:hAnsi="Garamond" w:cstheme="minorHAnsi"/>
        </w:rPr>
        <w:t xml:space="preserve">Dans la mesure où les critères ESG ne sont pas systématiquement pris en compte par </w:t>
      </w:r>
      <w:r>
        <w:rPr>
          <w:rFonts w:ascii="Garamond" w:hAnsi="Garamond" w:cstheme="minorHAnsi"/>
        </w:rPr>
        <w:t>INOVALIS S.A.</w:t>
      </w:r>
      <w:r w:rsidRPr="00D303BF">
        <w:rPr>
          <w:rFonts w:ascii="Garamond" w:hAnsi="Garamond" w:cstheme="minorHAnsi"/>
        </w:rPr>
        <w:t xml:space="preserve"> dans le cadre de sa politique et des stratégies d’investissement qu’elle met en œuvre, </w:t>
      </w:r>
      <w:r>
        <w:rPr>
          <w:rFonts w:ascii="Garamond" w:hAnsi="Garamond" w:cstheme="minorHAnsi"/>
        </w:rPr>
        <w:t>INOVALIS S.A.</w:t>
      </w:r>
      <w:r w:rsidRPr="00D303BF">
        <w:rPr>
          <w:rFonts w:ascii="Garamond" w:hAnsi="Garamond" w:cstheme="minorHAnsi"/>
        </w:rPr>
        <w:t xml:space="preserve"> n’est actuellement pas en mesure d’identifier la part globale des encours sous gestion prenant en compte des critères ESG dans le montant total des encours gérés par la société.</w:t>
      </w:r>
    </w:p>
    <w:p w14:paraId="341C9B15" w14:textId="77777777" w:rsidR="00AA03A9" w:rsidRPr="00D303BF" w:rsidRDefault="00AA03A9" w:rsidP="00DA2171">
      <w:pPr>
        <w:spacing w:after="0"/>
        <w:rPr>
          <w:rFonts w:ascii="Garamond" w:hAnsi="Garamond"/>
        </w:rPr>
      </w:pPr>
    </w:p>
    <w:sectPr w:rsidR="00AA03A9" w:rsidRPr="00D303B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D4EB" w14:textId="77777777" w:rsidR="003D0BDC" w:rsidRDefault="003D0BDC" w:rsidP="00D303BF">
      <w:pPr>
        <w:spacing w:after="0" w:line="240" w:lineRule="auto"/>
      </w:pPr>
      <w:r>
        <w:separator/>
      </w:r>
    </w:p>
  </w:endnote>
  <w:endnote w:type="continuationSeparator" w:id="0">
    <w:p w14:paraId="7A940E05" w14:textId="77777777" w:rsidR="003D0BDC" w:rsidRDefault="003D0BDC" w:rsidP="00D3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F0D8" w14:textId="3FA7A95B" w:rsidR="00C038D9" w:rsidRDefault="00C072FB">
    <w:pPr>
      <w:pStyle w:val="Pieddepage"/>
    </w:pPr>
    <w:r w:rsidRPr="00C072FB">
      <w:rPr>
        <w:rFonts w:ascii="Garamond" w:hAnsi="Garamond"/>
        <w:b/>
        <w:color w:val="534535"/>
        <w:sz w:val="16"/>
        <w:szCs w:val="16"/>
      </w:rPr>
      <w:t>INOVALIS SA</w:t>
    </w:r>
    <w:r w:rsidR="00C038D9" w:rsidRPr="00C072FB">
      <w:rPr>
        <w:rFonts w:ascii="Garamond" w:hAnsi="Garamond"/>
        <w:b/>
        <w:color w:val="534535"/>
        <w:sz w:val="16"/>
        <w:szCs w:val="16"/>
      </w:rPr>
      <w:t xml:space="preserve"> </w:t>
    </w:r>
    <w:r w:rsidR="00724525" w:rsidRPr="00C072FB">
      <w:rPr>
        <w:rFonts w:ascii="Garamond" w:hAnsi="Garamond"/>
        <w:b/>
        <w:color w:val="534535"/>
        <w:sz w:val="16"/>
        <w:szCs w:val="16"/>
      </w:rPr>
      <w:t>–</w:t>
    </w:r>
    <w:r w:rsidR="00C038D9" w:rsidRPr="00C072FB">
      <w:rPr>
        <w:rFonts w:ascii="Garamond" w:hAnsi="Garamond"/>
        <w:b/>
        <w:color w:val="534535"/>
        <w:sz w:val="16"/>
        <w:szCs w:val="16"/>
      </w:rPr>
      <w:t xml:space="preserve"> </w:t>
    </w:r>
    <w:r w:rsidR="00724525" w:rsidRPr="00C072FB">
      <w:rPr>
        <w:rFonts w:ascii="Garamond" w:hAnsi="Garamond"/>
        <w:b/>
        <w:color w:val="534535"/>
        <w:sz w:val="16"/>
        <w:szCs w:val="16"/>
      </w:rPr>
      <w:t>RAPPORT LEC 29 202</w:t>
    </w:r>
    <w:r w:rsidRPr="00C072FB">
      <w:rPr>
        <w:rFonts w:ascii="Garamond" w:hAnsi="Garamond"/>
        <w:b/>
        <w:color w:val="534535"/>
        <w:sz w:val="16"/>
        <w:szCs w:val="16"/>
      </w:rPr>
      <w:t>2</w:t>
    </w:r>
    <w:r w:rsidR="00724525" w:rsidRPr="00C072FB">
      <w:rPr>
        <w:rFonts w:ascii="Garamond" w:hAnsi="Garamond"/>
        <w:b/>
        <w:color w:val="534535"/>
        <w:sz w:val="16"/>
        <w:szCs w:val="16"/>
      </w:rPr>
      <w:t xml:space="preserve"> – JUIN 202</w:t>
    </w:r>
    <w:r w:rsidRPr="00C072FB">
      <w:rPr>
        <w:rFonts w:ascii="Garamond" w:hAnsi="Garamond"/>
        <w:b/>
        <w:color w:val="534535"/>
        <w:sz w:val="16"/>
        <w:szCs w:val="16"/>
      </w:rPr>
      <w:t>3</w:t>
    </w:r>
    <w:r w:rsidR="00C038D9" w:rsidRPr="00614B37">
      <w:rPr>
        <w:rFonts w:ascii="Garamond" w:hAnsi="Garamond"/>
        <w:b/>
        <w:color w:val="534535"/>
        <w:sz w:val="16"/>
        <w:szCs w:val="16"/>
      </w:rPr>
      <w:tab/>
    </w:r>
    <w:r w:rsidR="00C038D9" w:rsidRPr="00614B37">
      <w:rPr>
        <w:rFonts w:ascii="Garamond" w:hAnsi="Garamond"/>
        <w:b/>
        <w:color w:val="534535"/>
        <w:sz w:val="16"/>
        <w:szCs w:val="16"/>
      </w:rPr>
      <w:tab/>
    </w:r>
    <w:r w:rsidR="00C038D9" w:rsidRPr="00614B37">
      <w:rPr>
        <w:rStyle w:val="Numrodepage"/>
        <w:rFonts w:ascii="Garamond" w:hAnsi="Garamond" w:cs="Calibri"/>
        <w:b/>
        <w:color w:val="534535"/>
        <w:sz w:val="16"/>
        <w:szCs w:val="16"/>
      </w:rPr>
      <w:fldChar w:fldCharType="begin"/>
    </w:r>
    <w:r w:rsidR="00C038D9" w:rsidRPr="00614B37">
      <w:rPr>
        <w:rStyle w:val="Numrodepage"/>
        <w:rFonts w:ascii="Garamond" w:hAnsi="Garamond" w:cs="Calibri"/>
        <w:b/>
        <w:color w:val="534535"/>
        <w:sz w:val="16"/>
        <w:szCs w:val="16"/>
      </w:rPr>
      <w:instrText xml:space="preserve"> PAGE </w:instrText>
    </w:r>
    <w:r w:rsidR="00C038D9" w:rsidRPr="00614B37">
      <w:rPr>
        <w:rStyle w:val="Numrodepage"/>
        <w:rFonts w:ascii="Garamond" w:hAnsi="Garamond" w:cs="Calibri"/>
        <w:b/>
        <w:color w:val="534535"/>
        <w:sz w:val="16"/>
        <w:szCs w:val="16"/>
      </w:rPr>
      <w:fldChar w:fldCharType="separate"/>
    </w:r>
    <w:r w:rsidR="00C038D9">
      <w:rPr>
        <w:rStyle w:val="Numrodepage"/>
        <w:rFonts w:ascii="Garamond" w:hAnsi="Garamond" w:cs="Calibri"/>
        <w:b/>
        <w:color w:val="534535"/>
        <w:sz w:val="16"/>
        <w:szCs w:val="16"/>
      </w:rPr>
      <w:t>2</w:t>
    </w:r>
    <w:r w:rsidR="00C038D9" w:rsidRPr="00614B37">
      <w:rPr>
        <w:rStyle w:val="Numrodepage"/>
        <w:rFonts w:ascii="Garamond" w:hAnsi="Garamond" w:cs="Calibri"/>
        <w:b/>
        <w:color w:val="534535"/>
        <w:sz w:val="16"/>
        <w:szCs w:val="16"/>
      </w:rPr>
      <w:fldChar w:fldCharType="end"/>
    </w:r>
    <w:r w:rsidR="00C038D9" w:rsidRPr="00614B37">
      <w:rPr>
        <w:rStyle w:val="Numrodepage"/>
        <w:rFonts w:ascii="Garamond" w:hAnsi="Garamond" w:cs="Calibri"/>
        <w:b/>
        <w:color w:val="534535"/>
        <w:sz w:val="16"/>
        <w:szCs w:val="16"/>
      </w:rPr>
      <w:t xml:space="preserve"> / </w:t>
    </w:r>
    <w:r w:rsidR="00C038D9" w:rsidRPr="00614B37">
      <w:rPr>
        <w:rStyle w:val="Numrodepage"/>
        <w:rFonts w:ascii="Garamond" w:hAnsi="Garamond" w:cs="Calibri"/>
        <w:b/>
        <w:color w:val="534535"/>
        <w:sz w:val="16"/>
        <w:szCs w:val="16"/>
      </w:rPr>
      <w:fldChar w:fldCharType="begin"/>
    </w:r>
    <w:r w:rsidR="00C038D9" w:rsidRPr="00614B37">
      <w:rPr>
        <w:rStyle w:val="Numrodepage"/>
        <w:rFonts w:ascii="Garamond" w:hAnsi="Garamond" w:cs="Calibri"/>
        <w:b/>
        <w:color w:val="534535"/>
        <w:sz w:val="16"/>
        <w:szCs w:val="16"/>
      </w:rPr>
      <w:instrText xml:space="preserve"> NUMPAGES </w:instrText>
    </w:r>
    <w:r w:rsidR="00C038D9" w:rsidRPr="00614B37">
      <w:rPr>
        <w:rStyle w:val="Numrodepage"/>
        <w:rFonts w:ascii="Garamond" w:hAnsi="Garamond" w:cs="Calibri"/>
        <w:b/>
        <w:color w:val="534535"/>
        <w:sz w:val="16"/>
        <w:szCs w:val="16"/>
      </w:rPr>
      <w:fldChar w:fldCharType="separate"/>
    </w:r>
    <w:r w:rsidR="00C038D9">
      <w:rPr>
        <w:rStyle w:val="Numrodepage"/>
        <w:rFonts w:ascii="Garamond" w:hAnsi="Garamond" w:cs="Calibri"/>
        <w:b/>
        <w:color w:val="534535"/>
        <w:sz w:val="16"/>
        <w:szCs w:val="16"/>
      </w:rPr>
      <w:t>19</w:t>
    </w:r>
    <w:r w:rsidR="00C038D9" w:rsidRPr="00614B37">
      <w:rPr>
        <w:rStyle w:val="Numrodepage"/>
        <w:rFonts w:ascii="Garamond" w:hAnsi="Garamond" w:cs="Calibri"/>
        <w:b/>
        <w:color w:val="53453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2074" w14:textId="77777777" w:rsidR="003D0BDC" w:rsidRDefault="003D0BDC" w:rsidP="00D303BF">
      <w:pPr>
        <w:spacing w:after="0" w:line="240" w:lineRule="auto"/>
      </w:pPr>
      <w:r>
        <w:separator/>
      </w:r>
    </w:p>
  </w:footnote>
  <w:footnote w:type="continuationSeparator" w:id="0">
    <w:p w14:paraId="29815904" w14:textId="77777777" w:rsidR="003D0BDC" w:rsidRDefault="003D0BDC" w:rsidP="00D30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23B"/>
    <w:multiLevelType w:val="hybridMultilevel"/>
    <w:tmpl w:val="66BA49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372612C"/>
    <w:multiLevelType w:val="multilevel"/>
    <w:tmpl w:val="2A7073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F72E9B"/>
    <w:multiLevelType w:val="hybridMultilevel"/>
    <w:tmpl w:val="296A54EA"/>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9D45A5"/>
    <w:multiLevelType w:val="multilevel"/>
    <w:tmpl w:val="35CC3DF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0936A6"/>
    <w:multiLevelType w:val="multilevel"/>
    <w:tmpl w:val="9EC8F47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13061141"/>
    <w:multiLevelType w:val="multilevel"/>
    <w:tmpl w:val="22DA82B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321AE6"/>
    <w:multiLevelType w:val="hybridMultilevel"/>
    <w:tmpl w:val="4636D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0B6823"/>
    <w:multiLevelType w:val="hybridMultilevel"/>
    <w:tmpl w:val="86AC00B8"/>
    <w:lvl w:ilvl="0" w:tplc="8DA67DBE">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8" w15:restartNumberingAfterBreak="0">
    <w:nsid w:val="24CE25B9"/>
    <w:multiLevelType w:val="multilevel"/>
    <w:tmpl w:val="AB5219B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F620D67"/>
    <w:multiLevelType w:val="hybridMultilevel"/>
    <w:tmpl w:val="1A3A73DE"/>
    <w:lvl w:ilvl="0" w:tplc="E9921C1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8E2B18"/>
    <w:multiLevelType w:val="hybridMultilevel"/>
    <w:tmpl w:val="80A4B264"/>
    <w:lvl w:ilvl="0" w:tplc="73829BC0">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328E3F72"/>
    <w:multiLevelType w:val="multilevel"/>
    <w:tmpl w:val="802A548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EF41DE"/>
    <w:multiLevelType w:val="multilevel"/>
    <w:tmpl w:val="77266D22"/>
    <w:lvl w:ilvl="0">
      <w:start w:val="1"/>
      <w:numFmt w:val="upp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080387"/>
    <w:multiLevelType w:val="hybridMultilevel"/>
    <w:tmpl w:val="C2887E3C"/>
    <w:lvl w:ilvl="0" w:tplc="5EA67E7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6E34E61"/>
    <w:multiLevelType w:val="multilevel"/>
    <w:tmpl w:val="5420C64A"/>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363F8C"/>
    <w:multiLevelType w:val="hybridMultilevel"/>
    <w:tmpl w:val="FCEA58AA"/>
    <w:lvl w:ilvl="0" w:tplc="AC48EB28">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7C35F6"/>
    <w:multiLevelType w:val="multilevel"/>
    <w:tmpl w:val="C064623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ED52477"/>
    <w:multiLevelType w:val="hybridMultilevel"/>
    <w:tmpl w:val="53B842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F2779D8"/>
    <w:multiLevelType w:val="hybridMultilevel"/>
    <w:tmpl w:val="3586D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9C6B49"/>
    <w:multiLevelType w:val="multilevel"/>
    <w:tmpl w:val="43B026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626DC3"/>
    <w:multiLevelType w:val="hybridMultilevel"/>
    <w:tmpl w:val="A8BE0CD8"/>
    <w:lvl w:ilvl="0" w:tplc="040C000F">
      <w:start w:val="5"/>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CB06BC"/>
    <w:multiLevelType w:val="multilevel"/>
    <w:tmpl w:val="2B62BBD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9551283"/>
    <w:multiLevelType w:val="hybridMultilevel"/>
    <w:tmpl w:val="BB6A6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4E448A"/>
    <w:multiLevelType w:val="hybridMultilevel"/>
    <w:tmpl w:val="47BC5626"/>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24" w15:restartNumberingAfterBreak="0">
    <w:nsid w:val="4D2E32A5"/>
    <w:multiLevelType w:val="hybridMultilevel"/>
    <w:tmpl w:val="2A9E5A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1C362DE"/>
    <w:multiLevelType w:val="multilevel"/>
    <w:tmpl w:val="6004D302"/>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51D11EC"/>
    <w:multiLevelType w:val="hybridMultilevel"/>
    <w:tmpl w:val="8D52E3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97055E8"/>
    <w:multiLevelType w:val="multilevel"/>
    <w:tmpl w:val="CAD4AE9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5CA7493B"/>
    <w:multiLevelType w:val="hybridMultilevel"/>
    <w:tmpl w:val="636EED6A"/>
    <w:lvl w:ilvl="0" w:tplc="C7E65970">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3E16994"/>
    <w:multiLevelType w:val="multilevel"/>
    <w:tmpl w:val="38F0B4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782D1D"/>
    <w:multiLevelType w:val="hybridMultilevel"/>
    <w:tmpl w:val="145689AC"/>
    <w:lvl w:ilvl="0" w:tplc="040C000F">
      <w:start w:val="8"/>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2677EF"/>
    <w:multiLevelType w:val="hybridMultilevel"/>
    <w:tmpl w:val="571078FE"/>
    <w:lvl w:ilvl="0" w:tplc="0B645550">
      <w:start w:val="1"/>
      <w:numFmt w:val="decimal"/>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32" w15:restartNumberingAfterBreak="0">
    <w:nsid w:val="6CFB1EC0"/>
    <w:multiLevelType w:val="hybridMultilevel"/>
    <w:tmpl w:val="0B7AB2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CFC3E84"/>
    <w:multiLevelType w:val="hybridMultilevel"/>
    <w:tmpl w:val="3774B42E"/>
    <w:lvl w:ilvl="0" w:tplc="040C0001">
      <w:start w:val="1"/>
      <w:numFmt w:val="bullet"/>
      <w:lvlText w:val=""/>
      <w:lvlJc w:val="left"/>
      <w:pPr>
        <w:ind w:left="816" w:hanging="360"/>
      </w:pPr>
      <w:rPr>
        <w:rFonts w:ascii="Symbol" w:hAnsi="Symbol" w:hint="default"/>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34" w15:restartNumberingAfterBreak="0">
    <w:nsid w:val="6F6E1DB7"/>
    <w:multiLevelType w:val="hybridMultilevel"/>
    <w:tmpl w:val="97B45D5A"/>
    <w:lvl w:ilvl="0" w:tplc="C7E65970">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66A0A8E"/>
    <w:multiLevelType w:val="hybridMultilevel"/>
    <w:tmpl w:val="1794EAFC"/>
    <w:lvl w:ilvl="0" w:tplc="3FD89476">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6CE156F"/>
    <w:multiLevelType w:val="hybridMultilevel"/>
    <w:tmpl w:val="D2CEC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4E7549"/>
    <w:multiLevelType w:val="hybridMultilevel"/>
    <w:tmpl w:val="D0D63598"/>
    <w:lvl w:ilvl="0" w:tplc="2E8611C4">
      <w:start w:val="1"/>
      <w:numFmt w:val="bullet"/>
      <w:lvlText w:val="-"/>
      <w:lvlJc w:val="left"/>
      <w:pPr>
        <w:ind w:left="1004" w:hanging="360"/>
      </w:pPr>
      <w:rPr>
        <w:rFonts w:ascii="Calibri" w:eastAsiaTheme="minorHAnsi" w:hAnsi="Calibri" w:cs="Calibri"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num w:numId="1" w16cid:durableId="824515391">
    <w:abstractNumId w:val="17"/>
  </w:num>
  <w:num w:numId="2" w16cid:durableId="18700269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7787409">
    <w:abstractNumId w:val="23"/>
  </w:num>
  <w:num w:numId="4" w16cid:durableId="17577012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7232189">
    <w:abstractNumId w:val="37"/>
  </w:num>
  <w:num w:numId="6" w16cid:durableId="288975120">
    <w:abstractNumId w:val="24"/>
  </w:num>
  <w:num w:numId="7" w16cid:durableId="291713284">
    <w:abstractNumId w:val="13"/>
  </w:num>
  <w:num w:numId="8" w16cid:durableId="150297424">
    <w:abstractNumId w:val="26"/>
  </w:num>
  <w:num w:numId="9" w16cid:durableId="1923945819">
    <w:abstractNumId w:val="0"/>
  </w:num>
  <w:num w:numId="10" w16cid:durableId="1615357444">
    <w:abstractNumId w:val="28"/>
  </w:num>
  <w:num w:numId="11" w16cid:durableId="1177766740">
    <w:abstractNumId w:val="34"/>
  </w:num>
  <w:num w:numId="12" w16cid:durableId="15810155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2757840">
    <w:abstractNumId w:val="1"/>
  </w:num>
  <w:num w:numId="14" w16cid:durableId="2077891174">
    <w:abstractNumId w:val="7"/>
  </w:num>
  <w:num w:numId="15" w16cid:durableId="862329926">
    <w:abstractNumId w:val="18"/>
  </w:num>
  <w:num w:numId="16" w16cid:durableId="457770576">
    <w:abstractNumId w:val="6"/>
  </w:num>
  <w:num w:numId="17" w16cid:durableId="991637819">
    <w:abstractNumId w:val="36"/>
  </w:num>
  <w:num w:numId="18" w16cid:durableId="1377772418">
    <w:abstractNumId w:val="22"/>
  </w:num>
  <w:num w:numId="19" w16cid:durableId="223638347">
    <w:abstractNumId w:val="33"/>
  </w:num>
  <w:num w:numId="20" w16cid:durableId="387261877">
    <w:abstractNumId w:val="15"/>
  </w:num>
  <w:num w:numId="21" w16cid:durableId="1268660440">
    <w:abstractNumId w:val="27"/>
  </w:num>
  <w:num w:numId="22" w16cid:durableId="1722286320">
    <w:abstractNumId w:val="21"/>
  </w:num>
  <w:num w:numId="23" w16cid:durableId="1309476963">
    <w:abstractNumId w:val="4"/>
  </w:num>
  <w:num w:numId="24" w16cid:durableId="989479835">
    <w:abstractNumId w:val="9"/>
  </w:num>
  <w:num w:numId="25" w16cid:durableId="332997076">
    <w:abstractNumId w:val="29"/>
  </w:num>
  <w:num w:numId="26" w16cid:durableId="666323172">
    <w:abstractNumId w:val="20"/>
  </w:num>
  <w:num w:numId="27" w16cid:durableId="1686439286">
    <w:abstractNumId w:val="11"/>
  </w:num>
  <w:num w:numId="28" w16cid:durableId="1696225873">
    <w:abstractNumId w:val="19"/>
  </w:num>
  <w:num w:numId="29" w16cid:durableId="601497206">
    <w:abstractNumId w:val="30"/>
  </w:num>
  <w:num w:numId="30" w16cid:durableId="1847086185">
    <w:abstractNumId w:val="2"/>
  </w:num>
  <w:num w:numId="31" w16cid:durableId="929463600">
    <w:abstractNumId w:val="5"/>
  </w:num>
  <w:num w:numId="32" w16cid:durableId="233665673">
    <w:abstractNumId w:val="14"/>
  </w:num>
  <w:num w:numId="33" w16cid:durableId="2145344488">
    <w:abstractNumId w:val="25"/>
  </w:num>
  <w:num w:numId="34" w16cid:durableId="910503470">
    <w:abstractNumId w:val="16"/>
  </w:num>
  <w:num w:numId="35" w16cid:durableId="219438226">
    <w:abstractNumId w:val="8"/>
  </w:num>
  <w:num w:numId="36" w16cid:durableId="108667426">
    <w:abstractNumId w:val="3"/>
  </w:num>
  <w:num w:numId="37" w16cid:durableId="2056585286">
    <w:abstractNumId w:val="35"/>
  </w:num>
  <w:num w:numId="38" w16cid:durableId="1511018801">
    <w:abstractNumId w:val="32"/>
  </w:num>
  <w:num w:numId="39" w16cid:durableId="18041562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71"/>
    <w:rsid w:val="00061118"/>
    <w:rsid w:val="00074754"/>
    <w:rsid w:val="00090645"/>
    <w:rsid w:val="000B21C4"/>
    <w:rsid w:val="000C4936"/>
    <w:rsid w:val="0012582B"/>
    <w:rsid w:val="001308FD"/>
    <w:rsid w:val="00142129"/>
    <w:rsid w:val="001925B4"/>
    <w:rsid w:val="0027028F"/>
    <w:rsid w:val="002B4F61"/>
    <w:rsid w:val="003059C7"/>
    <w:rsid w:val="00347273"/>
    <w:rsid w:val="00370D97"/>
    <w:rsid w:val="003D0BDC"/>
    <w:rsid w:val="00435265"/>
    <w:rsid w:val="004442BA"/>
    <w:rsid w:val="004825B6"/>
    <w:rsid w:val="004D7E28"/>
    <w:rsid w:val="005262DD"/>
    <w:rsid w:val="0068789A"/>
    <w:rsid w:val="006A6E25"/>
    <w:rsid w:val="00724525"/>
    <w:rsid w:val="00730138"/>
    <w:rsid w:val="007A6A6C"/>
    <w:rsid w:val="007F77A9"/>
    <w:rsid w:val="008517D1"/>
    <w:rsid w:val="0088554E"/>
    <w:rsid w:val="00894DD7"/>
    <w:rsid w:val="009018F6"/>
    <w:rsid w:val="00915E7B"/>
    <w:rsid w:val="00926C59"/>
    <w:rsid w:val="00977EE1"/>
    <w:rsid w:val="009D313D"/>
    <w:rsid w:val="00A7140F"/>
    <w:rsid w:val="00A87385"/>
    <w:rsid w:val="00AA03A9"/>
    <w:rsid w:val="00AA47A6"/>
    <w:rsid w:val="00AD64BC"/>
    <w:rsid w:val="00B026A2"/>
    <w:rsid w:val="00B169F7"/>
    <w:rsid w:val="00B7744E"/>
    <w:rsid w:val="00B804A5"/>
    <w:rsid w:val="00B87C5B"/>
    <w:rsid w:val="00BD2B49"/>
    <w:rsid w:val="00C038D9"/>
    <w:rsid w:val="00C072FB"/>
    <w:rsid w:val="00D303BF"/>
    <w:rsid w:val="00D440E2"/>
    <w:rsid w:val="00D65E3C"/>
    <w:rsid w:val="00D90985"/>
    <w:rsid w:val="00DA2171"/>
    <w:rsid w:val="00DA52C7"/>
    <w:rsid w:val="00E10F9D"/>
    <w:rsid w:val="00F5752C"/>
    <w:rsid w:val="00F57EE0"/>
    <w:rsid w:val="00F87A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789E"/>
  <w15:chartTrackingRefBased/>
  <w15:docId w15:val="{52D55B78-D957-437A-A3FD-09956A00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3A9"/>
    <w:rPr>
      <w:sz w:val="24"/>
    </w:rPr>
  </w:style>
  <w:style w:type="paragraph" w:styleId="Titre1">
    <w:name w:val="heading 1"/>
    <w:basedOn w:val="Normal"/>
    <w:next w:val="Normal"/>
    <w:link w:val="Titre1Car"/>
    <w:uiPriority w:val="9"/>
    <w:qFormat/>
    <w:rsid w:val="00730138"/>
    <w:pPr>
      <w:keepNext/>
      <w:keepLines/>
      <w:spacing w:before="240" w:after="0"/>
      <w:outlineLvl w:val="0"/>
    </w:pPr>
    <w:rPr>
      <w:rFonts w:ascii="Garamond" w:eastAsiaTheme="majorEastAsia" w:hAnsi="Garamond" w:cstheme="majorBidi"/>
      <w:b/>
      <w:caps/>
      <w:color w:val="534535"/>
      <w:sz w:val="28"/>
      <w:szCs w:val="32"/>
    </w:rPr>
  </w:style>
  <w:style w:type="paragraph" w:styleId="Titre2">
    <w:name w:val="heading 2"/>
    <w:basedOn w:val="Normal"/>
    <w:next w:val="Normal"/>
    <w:link w:val="Titre2Car"/>
    <w:uiPriority w:val="9"/>
    <w:unhideWhenUsed/>
    <w:qFormat/>
    <w:rsid w:val="002B4F61"/>
    <w:pPr>
      <w:keepNext/>
      <w:keepLines/>
      <w:spacing w:before="40" w:after="0"/>
      <w:outlineLvl w:val="1"/>
    </w:pPr>
    <w:rPr>
      <w:rFonts w:ascii="Garamond" w:eastAsiaTheme="majorEastAsia" w:hAnsi="Garamond" w:cstheme="majorBidi"/>
      <w:b/>
      <w:smallCaps/>
      <w:color w:val="C0000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0138"/>
    <w:rPr>
      <w:rFonts w:ascii="Garamond" w:eastAsiaTheme="majorEastAsia" w:hAnsi="Garamond" w:cstheme="majorBidi"/>
      <w:b/>
      <w:caps/>
      <w:color w:val="534535"/>
      <w:sz w:val="28"/>
      <w:szCs w:val="32"/>
    </w:rPr>
  </w:style>
  <w:style w:type="character" w:customStyle="1" w:styleId="Titre2Car">
    <w:name w:val="Titre 2 Car"/>
    <w:basedOn w:val="Policepardfaut"/>
    <w:link w:val="Titre2"/>
    <w:uiPriority w:val="9"/>
    <w:rsid w:val="002B4F61"/>
    <w:rPr>
      <w:rFonts w:ascii="Garamond" w:eastAsiaTheme="majorEastAsia" w:hAnsi="Garamond" w:cstheme="majorBidi"/>
      <w:b/>
      <w:smallCaps/>
      <w:color w:val="C00000"/>
      <w:sz w:val="24"/>
      <w:szCs w:val="26"/>
    </w:rPr>
  </w:style>
  <w:style w:type="table" w:styleId="Grilledutableau">
    <w:name w:val="Table Grid"/>
    <w:basedOn w:val="TableauNormal"/>
    <w:uiPriority w:val="39"/>
    <w:rsid w:val="00D3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303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303BF"/>
    <w:rPr>
      <w:sz w:val="20"/>
      <w:szCs w:val="20"/>
    </w:rPr>
  </w:style>
  <w:style w:type="paragraph" w:styleId="Paragraphedeliste">
    <w:name w:val="List Paragraph"/>
    <w:aliases w:val="1st level - Bullet List Paragraph,Bullet list,Dot pt,EC,Lettre d'introduction,List Paragraph1,List Paragraph11,Medium Grid 1 - Accent 21,Normal bullet 2,Numbered List,Paragrafo elenco,Paragraphe EI,Paragraphe de liste1"/>
    <w:basedOn w:val="Normal"/>
    <w:link w:val="ParagraphedelisteCar"/>
    <w:uiPriority w:val="34"/>
    <w:qFormat/>
    <w:rsid w:val="00D303BF"/>
    <w:pPr>
      <w:spacing w:line="256" w:lineRule="auto"/>
      <w:ind w:left="720"/>
      <w:contextualSpacing/>
    </w:pPr>
  </w:style>
  <w:style w:type="character" w:styleId="Appelnotedebasdep">
    <w:name w:val="footnote reference"/>
    <w:basedOn w:val="Policepardfaut"/>
    <w:uiPriority w:val="99"/>
    <w:semiHidden/>
    <w:unhideWhenUsed/>
    <w:rsid w:val="00D303BF"/>
    <w:rPr>
      <w:vertAlign w:val="superscript"/>
    </w:rPr>
  </w:style>
  <w:style w:type="paragraph" w:styleId="En-tte">
    <w:name w:val="header"/>
    <w:basedOn w:val="Normal"/>
    <w:link w:val="En-tteCar"/>
    <w:uiPriority w:val="99"/>
    <w:unhideWhenUsed/>
    <w:rsid w:val="00D303BF"/>
    <w:pPr>
      <w:tabs>
        <w:tab w:val="center" w:pos="4536"/>
        <w:tab w:val="right" w:pos="9072"/>
      </w:tabs>
      <w:spacing w:after="0" w:line="240" w:lineRule="auto"/>
    </w:pPr>
  </w:style>
  <w:style w:type="character" w:customStyle="1" w:styleId="En-tteCar">
    <w:name w:val="En-tête Car"/>
    <w:basedOn w:val="Policepardfaut"/>
    <w:link w:val="En-tte"/>
    <w:uiPriority w:val="99"/>
    <w:rsid w:val="00D303BF"/>
  </w:style>
  <w:style w:type="paragraph" w:styleId="Pieddepage">
    <w:name w:val="footer"/>
    <w:basedOn w:val="Normal"/>
    <w:link w:val="PieddepageCar"/>
    <w:uiPriority w:val="99"/>
    <w:unhideWhenUsed/>
    <w:rsid w:val="00D303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3BF"/>
  </w:style>
  <w:style w:type="character" w:styleId="Marquedecommentaire">
    <w:name w:val="annotation reference"/>
    <w:basedOn w:val="Policepardfaut"/>
    <w:uiPriority w:val="99"/>
    <w:semiHidden/>
    <w:unhideWhenUsed/>
    <w:rsid w:val="00D303BF"/>
    <w:rPr>
      <w:sz w:val="16"/>
      <w:szCs w:val="16"/>
    </w:rPr>
  </w:style>
  <w:style w:type="paragraph" w:styleId="Commentaire">
    <w:name w:val="annotation text"/>
    <w:basedOn w:val="Normal"/>
    <w:link w:val="CommentaireCar"/>
    <w:uiPriority w:val="99"/>
    <w:unhideWhenUsed/>
    <w:rsid w:val="00D303BF"/>
    <w:pPr>
      <w:spacing w:line="240" w:lineRule="auto"/>
    </w:pPr>
    <w:rPr>
      <w:sz w:val="20"/>
      <w:szCs w:val="20"/>
    </w:rPr>
  </w:style>
  <w:style w:type="character" w:customStyle="1" w:styleId="CommentaireCar">
    <w:name w:val="Commentaire Car"/>
    <w:basedOn w:val="Policepardfaut"/>
    <w:link w:val="Commentaire"/>
    <w:uiPriority w:val="99"/>
    <w:rsid w:val="00D303BF"/>
    <w:rPr>
      <w:sz w:val="20"/>
      <w:szCs w:val="20"/>
    </w:rPr>
  </w:style>
  <w:style w:type="paragraph" w:styleId="Objetducommentaire">
    <w:name w:val="annotation subject"/>
    <w:basedOn w:val="Commentaire"/>
    <w:next w:val="Commentaire"/>
    <w:link w:val="ObjetducommentaireCar"/>
    <w:uiPriority w:val="99"/>
    <w:semiHidden/>
    <w:unhideWhenUsed/>
    <w:rsid w:val="00D303BF"/>
    <w:rPr>
      <w:b/>
      <w:bCs/>
    </w:rPr>
  </w:style>
  <w:style w:type="character" w:customStyle="1" w:styleId="ObjetducommentaireCar">
    <w:name w:val="Objet du commentaire Car"/>
    <w:basedOn w:val="CommentaireCar"/>
    <w:link w:val="Objetducommentaire"/>
    <w:uiPriority w:val="99"/>
    <w:semiHidden/>
    <w:rsid w:val="00D303BF"/>
    <w:rPr>
      <w:b/>
      <w:bCs/>
      <w:sz w:val="20"/>
      <w:szCs w:val="20"/>
    </w:rPr>
  </w:style>
  <w:style w:type="paragraph" w:styleId="En-ttedetabledesmatires">
    <w:name w:val="TOC Heading"/>
    <w:basedOn w:val="Titre1"/>
    <w:next w:val="Normal"/>
    <w:uiPriority w:val="39"/>
    <w:unhideWhenUsed/>
    <w:qFormat/>
    <w:rsid w:val="00D303BF"/>
    <w:pPr>
      <w:outlineLvl w:val="9"/>
    </w:pPr>
    <w:rPr>
      <w:lang w:eastAsia="fr-FR"/>
    </w:rPr>
  </w:style>
  <w:style w:type="paragraph" w:styleId="TM1">
    <w:name w:val="toc 1"/>
    <w:basedOn w:val="Normal"/>
    <w:next w:val="Normal"/>
    <w:autoRedefine/>
    <w:uiPriority w:val="39"/>
    <w:unhideWhenUsed/>
    <w:rsid w:val="00D303BF"/>
    <w:pPr>
      <w:tabs>
        <w:tab w:val="right" w:leader="dot" w:pos="9062"/>
      </w:tabs>
      <w:spacing w:after="100"/>
    </w:pPr>
    <w:rPr>
      <w:b/>
      <w:bCs/>
      <w:noProof/>
    </w:rPr>
  </w:style>
  <w:style w:type="paragraph" w:styleId="TM2">
    <w:name w:val="toc 2"/>
    <w:basedOn w:val="Normal"/>
    <w:next w:val="Normal"/>
    <w:autoRedefine/>
    <w:uiPriority w:val="39"/>
    <w:unhideWhenUsed/>
    <w:rsid w:val="00D303BF"/>
    <w:pPr>
      <w:spacing w:after="100"/>
      <w:ind w:left="220"/>
    </w:pPr>
  </w:style>
  <w:style w:type="character" w:styleId="Lienhypertexte">
    <w:name w:val="Hyperlink"/>
    <w:basedOn w:val="Policepardfaut"/>
    <w:uiPriority w:val="99"/>
    <w:unhideWhenUsed/>
    <w:rsid w:val="00D303BF"/>
    <w:rPr>
      <w:color w:val="0563C1" w:themeColor="hyperlink"/>
      <w:u w:val="single"/>
    </w:rPr>
  </w:style>
  <w:style w:type="paragraph" w:styleId="Textedebulles">
    <w:name w:val="Balloon Text"/>
    <w:basedOn w:val="Normal"/>
    <w:link w:val="TextedebullesCar"/>
    <w:uiPriority w:val="99"/>
    <w:semiHidden/>
    <w:unhideWhenUsed/>
    <w:rsid w:val="001258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582B"/>
    <w:rPr>
      <w:rFonts w:ascii="Segoe UI" w:hAnsi="Segoe UI" w:cs="Segoe UI"/>
      <w:sz w:val="18"/>
      <w:szCs w:val="18"/>
    </w:rPr>
  </w:style>
  <w:style w:type="character" w:styleId="Numrodepage">
    <w:name w:val="page number"/>
    <w:basedOn w:val="Policepardfaut"/>
    <w:uiPriority w:val="99"/>
    <w:rsid w:val="00C038D9"/>
    <w:rPr>
      <w:rFonts w:cs="Times New Roman"/>
    </w:rPr>
  </w:style>
  <w:style w:type="character" w:customStyle="1" w:styleId="ParagraphedelisteCar">
    <w:name w:val="Paragraphe de liste Car"/>
    <w:aliases w:val="1st level - Bullet List Paragraph Car,Bullet list Car,Dot pt Car,EC Car,Lettre d'introduction Car,List Paragraph1 Car,List Paragraph11 Car,Medium Grid 1 - Accent 21 Car,Normal bullet 2 Car,Numbered List Car,Paragrafo elenco Car"/>
    <w:basedOn w:val="Policepardfaut"/>
    <w:link w:val="Paragraphedeliste"/>
    <w:uiPriority w:val="34"/>
    <w:qFormat/>
    <w:locked/>
    <w:rsid w:val="00E10F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CFB11-F5F6-449C-845F-4583CE31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3072</Words>
  <Characters>16898</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Wilfrid WITMEYER</dc:creator>
  <cp:keywords/>
  <dc:description/>
  <cp:lastModifiedBy>Félix ALLOTEY</cp:lastModifiedBy>
  <cp:revision>7</cp:revision>
  <dcterms:created xsi:type="dcterms:W3CDTF">2023-07-07T08:32:00Z</dcterms:created>
  <dcterms:modified xsi:type="dcterms:W3CDTF">2023-07-07T08:56:00Z</dcterms:modified>
</cp:coreProperties>
</file>